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207BE" w14:textId="77777777" w:rsidR="00724AE5" w:rsidRPr="00286381" w:rsidRDefault="00000000" w:rsidP="0061054E">
      <w:pPr>
        <w:spacing w:line="254" w:lineRule="auto"/>
        <w:ind w:left="110" w:right="233"/>
        <w:rPr>
          <w:b/>
          <w:snapToGrid w:val="0"/>
          <w:sz w:val="23"/>
          <w:szCs w:val="23"/>
          <w:lang w:val="es-ES"/>
        </w:rPr>
      </w:pPr>
      <w:bookmarkStart w:id="0" w:name="_bookmark0"/>
      <w:bookmarkEnd w:id="0"/>
      <w:r w:rsidRPr="00286381">
        <w:rPr>
          <w:b/>
          <w:bCs/>
          <w:snapToGrid w:val="0"/>
          <w:sz w:val="23"/>
          <w:szCs w:val="23"/>
          <w:lang w:val="es"/>
        </w:rPr>
        <w:t>El Dr. Graham White ofrece una explicación de la incertidumbre de medición (</w:t>
      </w:r>
      <w:proofErr w:type="spellStart"/>
      <w:r w:rsidRPr="00286381">
        <w:rPr>
          <w:b/>
          <w:bCs/>
          <w:snapToGrid w:val="0"/>
          <w:sz w:val="23"/>
          <w:szCs w:val="23"/>
          <w:lang w:val="es"/>
        </w:rPr>
        <w:t>Measurement</w:t>
      </w:r>
      <w:proofErr w:type="spellEnd"/>
      <w:r w:rsidRPr="00286381">
        <w:rPr>
          <w:b/>
          <w:bCs/>
          <w:snapToGrid w:val="0"/>
          <w:sz w:val="23"/>
          <w:szCs w:val="23"/>
          <w:lang w:val="es"/>
        </w:rPr>
        <w:t xml:space="preserve"> </w:t>
      </w:r>
      <w:proofErr w:type="spellStart"/>
      <w:r w:rsidRPr="00286381">
        <w:rPr>
          <w:b/>
          <w:bCs/>
          <w:snapToGrid w:val="0"/>
          <w:sz w:val="23"/>
          <w:szCs w:val="23"/>
          <w:lang w:val="es"/>
        </w:rPr>
        <w:t>Uncertainty</w:t>
      </w:r>
      <w:proofErr w:type="spellEnd"/>
      <w:r w:rsidRPr="00286381">
        <w:rPr>
          <w:b/>
          <w:bCs/>
          <w:snapToGrid w:val="0"/>
          <w:sz w:val="23"/>
          <w:szCs w:val="23"/>
          <w:lang w:val="es"/>
        </w:rPr>
        <w:t>, MU), su papel en el laboratorio clínico y las ventajas que tiene sobre el uso del error total.</w:t>
      </w:r>
    </w:p>
    <w:p w14:paraId="3221DEAA" w14:textId="015E9B9B" w:rsidR="00724AE5" w:rsidRPr="00286381" w:rsidRDefault="00000000" w:rsidP="004A5FCE">
      <w:pPr>
        <w:pStyle w:val="Title"/>
        <w:spacing w:before="240" w:line="254" w:lineRule="auto"/>
        <w:rPr>
          <w:snapToGrid w:val="0"/>
          <w:sz w:val="31"/>
          <w:szCs w:val="31"/>
          <w:lang w:val="es-ES"/>
        </w:rPr>
      </w:pPr>
      <w:r w:rsidRPr="00286381">
        <w:rPr>
          <w:snapToGrid w:val="0"/>
          <w:sz w:val="31"/>
          <w:szCs w:val="31"/>
          <w:lang w:val="es"/>
        </w:rPr>
        <w:t>Guía del autoestopista sobre la incertidumbre de medición (MU) en los laboratorios clínicos</w:t>
      </w:r>
    </w:p>
    <w:p w14:paraId="5867F553" w14:textId="77777777" w:rsidR="00724AE5" w:rsidRPr="00286381" w:rsidRDefault="00000000" w:rsidP="004A5FCE">
      <w:pPr>
        <w:spacing w:before="120"/>
        <w:ind w:left="110"/>
        <w:rPr>
          <w:b/>
          <w:snapToGrid w:val="0"/>
          <w:sz w:val="23"/>
          <w:szCs w:val="23"/>
        </w:rPr>
      </w:pPr>
      <w:r w:rsidRPr="00286381">
        <w:rPr>
          <w:b/>
          <w:bCs/>
          <w:snapToGrid w:val="0"/>
          <w:sz w:val="23"/>
          <w:szCs w:val="23"/>
          <w:lang w:val="es"/>
        </w:rPr>
        <w:t>Abril de 2012</w:t>
      </w:r>
    </w:p>
    <w:p w14:paraId="273B5BA1" w14:textId="77777777" w:rsidR="00724AE5" w:rsidRPr="00286381" w:rsidRDefault="00000000">
      <w:pPr>
        <w:spacing w:before="189"/>
        <w:ind w:left="110"/>
        <w:rPr>
          <w:b/>
          <w:snapToGrid w:val="0"/>
          <w:sz w:val="23"/>
          <w:szCs w:val="23"/>
        </w:rPr>
      </w:pPr>
      <w:r w:rsidRPr="00286381">
        <w:rPr>
          <w:b/>
          <w:bCs/>
          <w:snapToGrid w:val="0"/>
          <w:sz w:val="23"/>
          <w:szCs w:val="23"/>
          <w:lang w:val="es"/>
        </w:rPr>
        <w:t>Graham White</w:t>
      </w:r>
    </w:p>
    <w:p w14:paraId="2B36E73D" w14:textId="77777777" w:rsidR="00724AE5" w:rsidRPr="00286381" w:rsidRDefault="00000000">
      <w:pPr>
        <w:spacing w:before="16" w:line="254" w:lineRule="auto"/>
        <w:ind w:left="110" w:right="233"/>
        <w:rPr>
          <w:b/>
          <w:snapToGrid w:val="0"/>
          <w:sz w:val="23"/>
          <w:szCs w:val="23"/>
        </w:rPr>
      </w:pPr>
      <w:r w:rsidRPr="00286381">
        <w:rPr>
          <w:b/>
          <w:bCs/>
          <w:snapToGrid w:val="0"/>
          <w:sz w:val="23"/>
          <w:szCs w:val="23"/>
          <w:lang w:val="es"/>
        </w:rPr>
        <w:t xml:space="preserve">SA </w:t>
      </w:r>
      <w:proofErr w:type="spellStart"/>
      <w:r w:rsidRPr="00286381">
        <w:rPr>
          <w:b/>
          <w:bCs/>
          <w:snapToGrid w:val="0"/>
          <w:sz w:val="23"/>
          <w:szCs w:val="23"/>
          <w:lang w:val="es"/>
        </w:rPr>
        <w:t>Pathology</w:t>
      </w:r>
      <w:proofErr w:type="spellEnd"/>
      <w:r w:rsidRPr="00286381">
        <w:rPr>
          <w:b/>
          <w:bCs/>
          <w:snapToGrid w:val="0"/>
          <w:sz w:val="23"/>
          <w:szCs w:val="23"/>
          <w:lang w:val="es"/>
        </w:rPr>
        <w:t xml:space="preserve">, </w:t>
      </w:r>
      <w:proofErr w:type="spellStart"/>
      <w:r w:rsidRPr="00286381">
        <w:rPr>
          <w:b/>
          <w:bCs/>
          <w:snapToGrid w:val="0"/>
          <w:sz w:val="23"/>
          <w:szCs w:val="23"/>
          <w:lang w:val="es"/>
        </w:rPr>
        <w:t>Flinders</w:t>
      </w:r>
      <w:proofErr w:type="spellEnd"/>
      <w:r w:rsidRPr="00286381">
        <w:rPr>
          <w:b/>
          <w:bCs/>
          <w:snapToGrid w:val="0"/>
          <w:sz w:val="23"/>
          <w:szCs w:val="23"/>
          <w:lang w:val="es"/>
        </w:rPr>
        <w:t xml:space="preserve"> Medical Centre, Bedford Park, </w:t>
      </w:r>
      <w:proofErr w:type="spellStart"/>
      <w:r w:rsidRPr="00286381">
        <w:rPr>
          <w:b/>
          <w:bCs/>
          <w:snapToGrid w:val="0"/>
          <w:sz w:val="23"/>
          <w:szCs w:val="23"/>
          <w:lang w:val="es"/>
        </w:rPr>
        <w:t>Adelaide</w:t>
      </w:r>
      <w:proofErr w:type="spellEnd"/>
      <w:r w:rsidRPr="00286381">
        <w:rPr>
          <w:b/>
          <w:bCs/>
          <w:snapToGrid w:val="0"/>
          <w:sz w:val="23"/>
          <w:szCs w:val="23"/>
          <w:lang w:val="es"/>
        </w:rPr>
        <w:t>, SA 5042 Australia</w:t>
      </w:r>
    </w:p>
    <w:p w14:paraId="7451C807" w14:textId="77777777" w:rsidR="00724AE5" w:rsidRPr="00286381" w:rsidRDefault="00724AE5">
      <w:pPr>
        <w:pStyle w:val="BodyText"/>
        <w:spacing w:line="272" w:lineRule="exact"/>
        <w:rPr>
          <w:snapToGrid w:val="0"/>
          <w:sz w:val="23"/>
          <w:szCs w:val="23"/>
        </w:rPr>
      </w:pPr>
      <w:hyperlink r:id="rId8">
        <w:r w:rsidRPr="00286381">
          <w:rPr>
            <w:snapToGrid w:val="0"/>
            <w:color w:val="0000FF"/>
            <w:sz w:val="23"/>
            <w:szCs w:val="23"/>
            <w:u w:val="single"/>
            <w:lang w:val="es"/>
          </w:rPr>
          <w:t>Graham.White@health.sa.gov.au</w:t>
        </w:r>
      </w:hyperlink>
    </w:p>
    <w:p w14:paraId="43C8766A" w14:textId="0C05FBBF" w:rsidR="0061054E" w:rsidRPr="00286381" w:rsidRDefault="00000000" w:rsidP="004A5FCE">
      <w:pPr>
        <w:pStyle w:val="BodyText"/>
        <w:numPr>
          <w:ilvl w:val="0"/>
          <w:numId w:val="4"/>
        </w:numPr>
        <w:tabs>
          <w:tab w:val="left" w:pos="686"/>
        </w:tabs>
        <w:spacing w:before="120" w:line="221" w:lineRule="auto"/>
        <w:ind w:right="2" w:hanging="403"/>
        <w:rPr>
          <w:snapToGrid w:val="0"/>
          <w:color w:val="0000FF"/>
          <w:sz w:val="23"/>
          <w:szCs w:val="23"/>
          <w:lang w:val="es-ES"/>
        </w:rPr>
      </w:pPr>
      <w:r w:rsidRPr="00286381">
        <w:rPr>
          <w:sz w:val="23"/>
          <w:szCs w:val="23"/>
          <w:lang w:val="es"/>
        </w:rPr>
        <w:tab/>
      </w:r>
      <w:hyperlink w:anchor="_bookmark0" w:history="1">
        <w:r w:rsidR="0061054E" w:rsidRPr="00286381">
          <w:rPr>
            <w:snapToGrid w:val="0"/>
            <w:color w:val="0000FF"/>
            <w:sz w:val="23"/>
            <w:szCs w:val="23"/>
            <w:u w:val="single"/>
            <w:lang w:val="es"/>
          </w:rPr>
          <w:t>¿Qué tipos de mediciones de laboratorio deberían utilizar MU?</w:t>
        </w:r>
      </w:hyperlink>
    </w:p>
    <w:p w14:paraId="6A380C92" w14:textId="5C979352" w:rsidR="0061054E" w:rsidRPr="00286381" w:rsidRDefault="00000000" w:rsidP="004A5FCE">
      <w:pPr>
        <w:pStyle w:val="BodyText"/>
        <w:numPr>
          <w:ilvl w:val="0"/>
          <w:numId w:val="4"/>
        </w:numPr>
        <w:tabs>
          <w:tab w:val="left" w:pos="686"/>
        </w:tabs>
        <w:spacing w:line="221" w:lineRule="auto"/>
        <w:ind w:right="2" w:hanging="403"/>
        <w:rPr>
          <w:snapToGrid w:val="0"/>
          <w:color w:val="0000FF"/>
          <w:sz w:val="23"/>
          <w:szCs w:val="23"/>
          <w:lang w:val="es-ES"/>
        </w:rPr>
      </w:pPr>
      <w:r w:rsidRPr="00286381">
        <w:rPr>
          <w:sz w:val="23"/>
          <w:szCs w:val="23"/>
          <w:lang w:val="es"/>
        </w:rPr>
        <w:tab/>
      </w:r>
      <w:hyperlink w:anchor="_bookmark0" w:history="1">
        <w:r w:rsidR="0061054E" w:rsidRPr="00286381">
          <w:rPr>
            <w:snapToGrid w:val="0"/>
            <w:color w:val="0000FF"/>
            <w:sz w:val="23"/>
            <w:szCs w:val="23"/>
            <w:u w:val="single"/>
            <w:lang w:val="es"/>
          </w:rPr>
          <w:t>¿Por qué es importante la MU en los laboratorios clínicos de rutina?</w:t>
        </w:r>
      </w:hyperlink>
    </w:p>
    <w:p w14:paraId="71237E21" w14:textId="3DFB8ED3" w:rsidR="00724AE5" w:rsidRPr="00286381" w:rsidRDefault="00000000" w:rsidP="004A5FCE">
      <w:pPr>
        <w:pStyle w:val="BodyText"/>
        <w:numPr>
          <w:ilvl w:val="0"/>
          <w:numId w:val="4"/>
        </w:numPr>
        <w:tabs>
          <w:tab w:val="left" w:pos="686"/>
        </w:tabs>
        <w:spacing w:line="221" w:lineRule="auto"/>
        <w:ind w:right="2" w:hanging="403"/>
        <w:rPr>
          <w:snapToGrid w:val="0"/>
          <w:sz w:val="23"/>
          <w:szCs w:val="23"/>
          <w:lang w:val="es-ES"/>
        </w:rPr>
      </w:pPr>
      <w:r w:rsidRPr="00286381">
        <w:rPr>
          <w:sz w:val="23"/>
          <w:szCs w:val="23"/>
          <w:lang w:val="es"/>
        </w:rPr>
        <w:tab/>
      </w:r>
      <w:hyperlink w:anchor="_bookmark0" w:history="1">
        <w:r w:rsidR="00724AE5" w:rsidRPr="00286381">
          <w:rPr>
            <w:snapToGrid w:val="0"/>
            <w:color w:val="0000FF"/>
            <w:sz w:val="23"/>
            <w:szCs w:val="23"/>
            <w:u w:val="single"/>
            <w:lang w:val="es"/>
          </w:rPr>
          <w:t>¿Puede ayudar el método del Error total (TE)?</w:t>
        </w:r>
      </w:hyperlink>
    </w:p>
    <w:p w14:paraId="2D7A1725" w14:textId="68336C29" w:rsidR="0061054E" w:rsidRPr="00286381" w:rsidRDefault="0061054E" w:rsidP="004A5FCE">
      <w:pPr>
        <w:pStyle w:val="BodyText"/>
        <w:numPr>
          <w:ilvl w:val="0"/>
          <w:numId w:val="4"/>
        </w:numPr>
        <w:tabs>
          <w:tab w:val="left" w:pos="686"/>
        </w:tabs>
        <w:spacing w:line="221" w:lineRule="auto"/>
        <w:ind w:right="2" w:hanging="403"/>
        <w:rPr>
          <w:snapToGrid w:val="0"/>
          <w:color w:val="0000FF"/>
          <w:sz w:val="23"/>
          <w:szCs w:val="23"/>
          <w:lang w:val="es-ES"/>
        </w:rPr>
      </w:pPr>
      <w:hyperlink w:anchor="_bookmark0" w:history="1">
        <w:r w:rsidRPr="00286381">
          <w:rPr>
            <w:snapToGrid w:val="0"/>
            <w:color w:val="0000FF"/>
            <w:sz w:val="23"/>
            <w:szCs w:val="23"/>
            <w:u w:val="single"/>
            <w:lang w:val="es"/>
          </w:rPr>
          <w:t>Limitaciones del concepto de Error total (TE)</w:t>
        </w:r>
      </w:hyperlink>
    </w:p>
    <w:p w14:paraId="79AAAF1F" w14:textId="1F493FAD" w:rsidR="00724AE5" w:rsidRPr="00286381" w:rsidRDefault="00724AE5" w:rsidP="004A5FCE">
      <w:pPr>
        <w:pStyle w:val="BodyText"/>
        <w:numPr>
          <w:ilvl w:val="0"/>
          <w:numId w:val="4"/>
        </w:numPr>
        <w:tabs>
          <w:tab w:val="left" w:pos="686"/>
        </w:tabs>
        <w:spacing w:line="221" w:lineRule="auto"/>
        <w:ind w:right="2" w:hanging="403"/>
        <w:rPr>
          <w:snapToGrid w:val="0"/>
          <w:sz w:val="23"/>
          <w:szCs w:val="23"/>
          <w:lang w:val="es-ES"/>
        </w:rPr>
      </w:pPr>
      <w:hyperlink w:anchor="_bookmark0" w:history="1">
        <w:r w:rsidRPr="00286381">
          <w:rPr>
            <w:snapToGrid w:val="0"/>
            <w:color w:val="0000FF"/>
            <w:sz w:val="23"/>
            <w:szCs w:val="23"/>
            <w:u w:val="single"/>
            <w:lang w:val="es"/>
          </w:rPr>
          <w:t>¿Qué es la incertidumbre de medición (MU)?</w:t>
        </w:r>
      </w:hyperlink>
    </w:p>
    <w:p w14:paraId="240D3CA9" w14:textId="5B81BAD2" w:rsidR="00724AE5" w:rsidRPr="00286381" w:rsidRDefault="00724AE5" w:rsidP="004A5FCE">
      <w:pPr>
        <w:pStyle w:val="BodyText"/>
        <w:numPr>
          <w:ilvl w:val="0"/>
          <w:numId w:val="4"/>
        </w:numPr>
        <w:tabs>
          <w:tab w:val="left" w:pos="686"/>
        </w:tabs>
        <w:spacing w:line="221" w:lineRule="auto"/>
        <w:ind w:right="2" w:hanging="403"/>
        <w:rPr>
          <w:snapToGrid w:val="0"/>
          <w:sz w:val="23"/>
          <w:szCs w:val="23"/>
        </w:rPr>
      </w:pPr>
      <w:hyperlink w:anchor="_bookmark0" w:history="1">
        <w:r w:rsidRPr="00286381">
          <w:rPr>
            <w:snapToGrid w:val="0"/>
            <w:color w:val="0000FF"/>
            <w:sz w:val="23"/>
            <w:szCs w:val="23"/>
            <w:u w:val="single"/>
            <w:lang w:val="es"/>
          </w:rPr>
          <w:t>¿Qué incluye la MU?</w:t>
        </w:r>
      </w:hyperlink>
    </w:p>
    <w:p w14:paraId="3FF5BDBE" w14:textId="73E65343" w:rsidR="0061054E" w:rsidRPr="00286381" w:rsidRDefault="0061054E" w:rsidP="004A5FCE">
      <w:pPr>
        <w:pStyle w:val="BodyText"/>
        <w:numPr>
          <w:ilvl w:val="0"/>
          <w:numId w:val="4"/>
        </w:numPr>
        <w:tabs>
          <w:tab w:val="left" w:pos="686"/>
        </w:tabs>
        <w:spacing w:line="221" w:lineRule="auto"/>
        <w:ind w:right="2" w:hanging="403"/>
        <w:rPr>
          <w:snapToGrid w:val="0"/>
          <w:color w:val="0000FF"/>
          <w:sz w:val="23"/>
          <w:szCs w:val="23"/>
          <w:lang w:val="es-ES"/>
        </w:rPr>
      </w:pPr>
      <w:hyperlink w:anchor="_bookmark0" w:history="1">
        <w:r w:rsidRPr="00286381">
          <w:rPr>
            <w:snapToGrid w:val="0"/>
            <w:color w:val="0000FF"/>
            <w:sz w:val="23"/>
            <w:szCs w:val="23"/>
            <w:u w:val="single"/>
            <w:lang w:val="es"/>
          </w:rPr>
          <w:t>¿Cómo maneja la MU el sesgo?</w:t>
        </w:r>
      </w:hyperlink>
    </w:p>
    <w:p w14:paraId="2ADCF7BD" w14:textId="52491F36" w:rsidR="00724AE5" w:rsidRPr="00286381" w:rsidRDefault="00724AE5" w:rsidP="004A5FCE">
      <w:pPr>
        <w:pStyle w:val="BodyText"/>
        <w:numPr>
          <w:ilvl w:val="0"/>
          <w:numId w:val="4"/>
        </w:numPr>
        <w:tabs>
          <w:tab w:val="left" w:pos="686"/>
        </w:tabs>
        <w:spacing w:line="221" w:lineRule="auto"/>
        <w:ind w:right="2" w:hanging="403"/>
        <w:rPr>
          <w:snapToGrid w:val="0"/>
          <w:sz w:val="23"/>
          <w:szCs w:val="23"/>
          <w:lang w:val="es-ES"/>
        </w:rPr>
      </w:pPr>
      <w:hyperlink w:anchor="_bookmark0" w:history="1">
        <w:r w:rsidRPr="00286381">
          <w:rPr>
            <w:snapToGrid w:val="0"/>
            <w:color w:val="0000FF"/>
            <w:sz w:val="23"/>
            <w:szCs w:val="23"/>
            <w:u w:val="single"/>
            <w:lang w:val="es"/>
          </w:rPr>
          <w:t>¿Cómo se estima la MU?</w:t>
        </w:r>
      </w:hyperlink>
    </w:p>
    <w:p w14:paraId="7A18C70D" w14:textId="49C8B044" w:rsidR="00724AE5" w:rsidRPr="00286381" w:rsidRDefault="00724AE5" w:rsidP="004A5FCE">
      <w:pPr>
        <w:pStyle w:val="BodyText"/>
        <w:numPr>
          <w:ilvl w:val="0"/>
          <w:numId w:val="4"/>
        </w:numPr>
        <w:tabs>
          <w:tab w:val="left" w:pos="686"/>
        </w:tabs>
        <w:spacing w:line="221" w:lineRule="auto"/>
        <w:ind w:right="2" w:hanging="403"/>
        <w:rPr>
          <w:snapToGrid w:val="0"/>
          <w:sz w:val="23"/>
          <w:szCs w:val="23"/>
          <w:lang w:val="es-ES"/>
        </w:rPr>
      </w:pPr>
      <w:hyperlink w:anchor="_bookmark0" w:history="1">
        <w:r w:rsidRPr="00286381">
          <w:rPr>
            <w:snapToGrid w:val="0"/>
            <w:color w:val="0000FF"/>
            <w:sz w:val="23"/>
            <w:szCs w:val="23"/>
            <w:u w:val="single"/>
            <w:lang w:val="es"/>
          </w:rPr>
          <w:t>¿Qué sucede si el sesgo se considera significativo?</w:t>
        </w:r>
      </w:hyperlink>
    </w:p>
    <w:p w14:paraId="2399432C" w14:textId="45A6E1DE" w:rsidR="00724AE5" w:rsidRPr="00286381" w:rsidRDefault="00724AE5" w:rsidP="004A5FCE">
      <w:pPr>
        <w:pStyle w:val="BodyText"/>
        <w:numPr>
          <w:ilvl w:val="0"/>
          <w:numId w:val="4"/>
        </w:numPr>
        <w:tabs>
          <w:tab w:val="left" w:pos="686"/>
        </w:tabs>
        <w:spacing w:line="221" w:lineRule="auto"/>
        <w:ind w:right="2" w:hanging="403"/>
        <w:rPr>
          <w:snapToGrid w:val="0"/>
          <w:sz w:val="23"/>
          <w:szCs w:val="23"/>
          <w:lang w:val="es-ES"/>
        </w:rPr>
      </w:pPr>
      <w:hyperlink w:anchor="_bookmark0" w:history="1">
        <w:r w:rsidRPr="00286381">
          <w:rPr>
            <w:snapToGrid w:val="0"/>
            <w:color w:val="0000FF"/>
            <w:sz w:val="23"/>
            <w:szCs w:val="23"/>
            <w:u w:val="single"/>
            <w:lang w:val="es"/>
          </w:rPr>
          <w:t>¿Cómo se calcula la MU para una medición calculada a partir de varios</w:t>
        </w:r>
      </w:hyperlink>
      <w:r w:rsidRPr="00286381">
        <w:rPr>
          <w:snapToGrid w:val="0"/>
          <w:color w:val="0000FF"/>
          <w:sz w:val="23"/>
          <w:szCs w:val="23"/>
          <w:u w:val="single"/>
          <w:lang w:val="es"/>
        </w:rPr>
        <w:t xml:space="preserve"> </w:t>
      </w:r>
      <w:hyperlink w:anchor="_bookmark0" w:history="1">
        <w:r w:rsidRPr="00286381">
          <w:rPr>
            <w:snapToGrid w:val="0"/>
            <w:color w:val="0000FF"/>
            <w:sz w:val="23"/>
            <w:szCs w:val="23"/>
            <w:u w:val="single"/>
            <w:lang w:val="es"/>
          </w:rPr>
          <w:t>otros resultados?</w:t>
        </w:r>
      </w:hyperlink>
    </w:p>
    <w:p w14:paraId="23DF7B50" w14:textId="16BA391C" w:rsidR="0061054E" w:rsidRPr="00286381" w:rsidRDefault="0061054E" w:rsidP="004A5FCE">
      <w:pPr>
        <w:pStyle w:val="BodyText"/>
        <w:numPr>
          <w:ilvl w:val="0"/>
          <w:numId w:val="4"/>
        </w:numPr>
        <w:tabs>
          <w:tab w:val="left" w:pos="686"/>
        </w:tabs>
        <w:spacing w:line="221" w:lineRule="auto"/>
        <w:ind w:right="2" w:hanging="403"/>
        <w:rPr>
          <w:snapToGrid w:val="0"/>
          <w:color w:val="0000FF"/>
          <w:sz w:val="23"/>
          <w:szCs w:val="23"/>
          <w:lang w:val="es-ES"/>
        </w:rPr>
      </w:pPr>
      <w:hyperlink w:anchor="_bookmark0" w:history="1">
        <w:r w:rsidRPr="00286381">
          <w:rPr>
            <w:snapToGrid w:val="0"/>
            <w:color w:val="0000FF"/>
            <w:sz w:val="23"/>
            <w:szCs w:val="23"/>
            <w:u w:val="single"/>
            <w:lang w:val="es"/>
          </w:rPr>
          <w:t>¿Cómo deben evaluarse las estimaciones de la MU?</w:t>
        </w:r>
      </w:hyperlink>
    </w:p>
    <w:p w14:paraId="49B2B5CB" w14:textId="508C61B4" w:rsidR="00724AE5" w:rsidRPr="00286381" w:rsidRDefault="00724AE5" w:rsidP="004A5FCE">
      <w:pPr>
        <w:pStyle w:val="BodyText"/>
        <w:numPr>
          <w:ilvl w:val="0"/>
          <w:numId w:val="4"/>
        </w:numPr>
        <w:tabs>
          <w:tab w:val="left" w:pos="686"/>
        </w:tabs>
        <w:spacing w:line="221" w:lineRule="auto"/>
        <w:ind w:right="2" w:hanging="403"/>
        <w:rPr>
          <w:snapToGrid w:val="0"/>
          <w:sz w:val="23"/>
          <w:szCs w:val="23"/>
        </w:rPr>
      </w:pPr>
      <w:hyperlink w:anchor="_bookmark0" w:history="1">
        <w:r w:rsidRPr="00286381">
          <w:rPr>
            <w:snapToGrid w:val="0"/>
            <w:color w:val="0000FF"/>
            <w:sz w:val="23"/>
            <w:szCs w:val="23"/>
            <w:u w:val="single"/>
            <w:lang w:val="es"/>
          </w:rPr>
          <w:t>Resumen</w:t>
        </w:r>
      </w:hyperlink>
    </w:p>
    <w:p w14:paraId="15204AA3" w14:textId="25B4020B" w:rsidR="0061054E" w:rsidRPr="00286381" w:rsidRDefault="0061054E" w:rsidP="004A5FCE">
      <w:pPr>
        <w:pStyle w:val="BodyText"/>
        <w:numPr>
          <w:ilvl w:val="0"/>
          <w:numId w:val="4"/>
        </w:numPr>
        <w:tabs>
          <w:tab w:val="left" w:pos="686"/>
        </w:tabs>
        <w:spacing w:line="221" w:lineRule="auto"/>
        <w:ind w:right="2" w:hanging="403"/>
        <w:rPr>
          <w:snapToGrid w:val="0"/>
          <w:color w:val="0000FF"/>
          <w:sz w:val="23"/>
          <w:szCs w:val="23"/>
          <w:lang w:val="es-ES"/>
        </w:rPr>
      </w:pPr>
      <w:hyperlink w:anchor="_bookmark0" w:history="1">
        <w:r w:rsidRPr="00286381">
          <w:rPr>
            <w:snapToGrid w:val="0"/>
            <w:color w:val="0000FF"/>
            <w:sz w:val="23"/>
            <w:szCs w:val="23"/>
            <w:u w:val="single"/>
            <w:lang w:val="es"/>
          </w:rPr>
          <w:t>¿Debería notificarse con un procedimiento de rutina la MU a los clínicos?</w:t>
        </w:r>
      </w:hyperlink>
    </w:p>
    <w:p w14:paraId="64D8E6CA" w14:textId="77777777" w:rsidR="00E63D56" w:rsidRPr="00286381" w:rsidRDefault="00E63D56" w:rsidP="004A5FCE">
      <w:pPr>
        <w:pStyle w:val="BodyText"/>
        <w:numPr>
          <w:ilvl w:val="0"/>
          <w:numId w:val="4"/>
        </w:numPr>
        <w:tabs>
          <w:tab w:val="left" w:pos="686"/>
        </w:tabs>
        <w:spacing w:line="221" w:lineRule="auto"/>
        <w:ind w:right="2" w:hanging="403"/>
        <w:rPr>
          <w:snapToGrid w:val="0"/>
          <w:sz w:val="23"/>
          <w:szCs w:val="23"/>
          <w:lang w:val="es-ES"/>
        </w:rPr>
      </w:pPr>
      <w:hyperlink w:anchor="_bookmark0" w:history="1">
        <w:r w:rsidRPr="00286381">
          <w:rPr>
            <w:snapToGrid w:val="0"/>
            <w:color w:val="0000FF"/>
            <w:sz w:val="23"/>
            <w:szCs w:val="23"/>
            <w:u w:val="single"/>
            <w:lang w:val="es"/>
          </w:rPr>
          <w:t xml:space="preserve">Resumen de la MU y </w:t>
        </w:r>
        <w:proofErr w:type="spellStart"/>
        <w:r w:rsidRPr="00286381">
          <w:rPr>
            <w:snapToGrid w:val="0"/>
            <w:color w:val="0000FF"/>
            <w:sz w:val="23"/>
            <w:szCs w:val="23"/>
            <w:u w:val="single"/>
            <w:lang w:val="es"/>
          </w:rPr>
          <w:t>el</w:t>
        </w:r>
        <w:proofErr w:type="spellEnd"/>
        <w:r w:rsidRPr="00286381">
          <w:rPr>
            <w:snapToGrid w:val="0"/>
            <w:color w:val="0000FF"/>
            <w:sz w:val="23"/>
            <w:szCs w:val="23"/>
            <w:u w:val="single"/>
            <w:lang w:val="es"/>
          </w:rPr>
          <w:t xml:space="preserve"> TE</w:t>
        </w:r>
      </w:hyperlink>
    </w:p>
    <w:p w14:paraId="3C07F150" w14:textId="28B93953" w:rsidR="00724AE5" w:rsidRPr="00286381" w:rsidRDefault="00724AE5" w:rsidP="004A5FCE">
      <w:pPr>
        <w:pStyle w:val="BodyText"/>
        <w:numPr>
          <w:ilvl w:val="0"/>
          <w:numId w:val="4"/>
        </w:numPr>
        <w:tabs>
          <w:tab w:val="left" w:pos="686"/>
        </w:tabs>
        <w:spacing w:line="221" w:lineRule="auto"/>
        <w:ind w:right="2" w:hanging="403"/>
        <w:rPr>
          <w:snapToGrid w:val="0"/>
          <w:sz w:val="23"/>
          <w:szCs w:val="23"/>
        </w:rPr>
      </w:pPr>
      <w:hyperlink w:anchor="_bookmark0" w:history="1">
        <w:r w:rsidRPr="00286381">
          <w:rPr>
            <w:snapToGrid w:val="0"/>
            <w:color w:val="0000FF"/>
            <w:sz w:val="23"/>
            <w:szCs w:val="23"/>
            <w:u w:val="single"/>
            <w:lang w:val="es"/>
          </w:rPr>
          <w:t>Referencias</w:t>
        </w:r>
      </w:hyperlink>
    </w:p>
    <w:p w14:paraId="7261783B" w14:textId="736FE11A" w:rsidR="00724AE5" w:rsidRPr="00286381" w:rsidRDefault="00000000" w:rsidP="004A5FCE">
      <w:pPr>
        <w:pStyle w:val="BodyText"/>
        <w:spacing w:before="240" w:line="254" w:lineRule="auto"/>
        <w:rPr>
          <w:snapToGrid w:val="0"/>
          <w:sz w:val="23"/>
          <w:szCs w:val="23"/>
          <w:lang w:val="es-ES"/>
        </w:rPr>
      </w:pPr>
      <w:r w:rsidRPr="00286381">
        <w:rPr>
          <w:snapToGrid w:val="0"/>
          <w:sz w:val="23"/>
          <w:szCs w:val="23"/>
          <w:lang w:val="es"/>
        </w:rPr>
        <w:t xml:space="preserve">Agradezco la invitación para ampliar la información sobre la incertidumbre de medición después del reciente artículo de James </w:t>
      </w:r>
      <w:proofErr w:type="spellStart"/>
      <w:r w:rsidRPr="00286381">
        <w:rPr>
          <w:snapToGrid w:val="0"/>
          <w:sz w:val="23"/>
          <w:szCs w:val="23"/>
          <w:lang w:val="es"/>
        </w:rPr>
        <w:t>Westgard</w:t>
      </w:r>
      <w:proofErr w:type="spellEnd"/>
      <w:r w:rsidRPr="00286381">
        <w:rPr>
          <w:snapToGrid w:val="0"/>
          <w:sz w:val="23"/>
          <w:szCs w:val="23"/>
          <w:lang w:val="es"/>
        </w:rPr>
        <w:t xml:space="preserve"> sobre la última guía de MU del Instituto de Estándares Clínicos y de Laboratorio (</w:t>
      </w:r>
      <w:proofErr w:type="spellStart"/>
      <w:r w:rsidRPr="00286381">
        <w:rPr>
          <w:snapToGrid w:val="0"/>
          <w:sz w:val="23"/>
          <w:szCs w:val="23"/>
          <w:lang w:val="es"/>
        </w:rPr>
        <w:t>Clinical</w:t>
      </w:r>
      <w:proofErr w:type="spellEnd"/>
      <w:r w:rsidRPr="00286381">
        <w:rPr>
          <w:snapToGrid w:val="0"/>
          <w:sz w:val="23"/>
          <w:szCs w:val="23"/>
          <w:lang w:val="es"/>
        </w:rPr>
        <w:t xml:space="preserve"> and </w:t>
      </w:r>
      <w:proofErr w:type="spellStart"/>
      <w:r w:rsidRPr="00286381">
        <w:rPr>
          <w:snapToGrid w:val="0"/>
          <w:sz w:val="23"/>
          <w:szCs w:val="23"/>
          <w:lang w:val="es"/>
        </w:rPr>
        <w:t>Laboratories</w:t>
      </w:r>
      <w:proofErr w:type="spellEnd"/>
      <w:r w:rsidRPr="00286381">
        <w:rPr>
          <w:snapToGrid w:val="0"/>
          <w:sz w:val="23"/>
          <w:szCs w:val="23"/>
          <w:lang w:val="es"/>
        </w:rPr>
        <w:t xml:space="preserve"> </w:t>
      </w:r>
      <w:proofErr w:type="spellStart"/>
      <w:r w:rsidRPr="00286381">
        <w:rPr>
          <w:snapToGrid w:val="0"/>
          <w:sz w:val="23"/>
          <w:szCs w:val="23"/>
          <w:lang w:val="es"/>
        </w:rPr>
        <w:t>Standards</w:t>
      </w:r>
      <w:proofErr w:type="spellEnd"/>
      <w:r w:rsidRPr="00286381">
        <w:rPr>
          <w:snapToGrid w:val="0"/>
          <w:sz w:val="23"/>
          <w:szCs w:val="23"/>
          <w:lang w:val="es"/>
        </w:rPr>
        <w:t xml:space="preserve"> </w:t>
      </w:r>
      <w:proofErr w:type="spellStart"/>
      <w:r w:rsidRPr="00286381">
        <w:rPr>
          <w:snapToGrid w:val="0"/>
          <w:sz w:val="23"/>
          <w:szCs w:val="23"/>
          <w:lang w:val="es"/>
        </w:rPr>
        <w:t>Institute</w:t>
      </w:r>
      <w:proofErr w:type="spellEnd"/>
      <w:r w:rsidRPr="00286381">
        <w:rPr>
          <w:snapToGrid w:val="0"/>
          <w:sz w:val="23"/>
          <w:szCs w:val="23"/>
          <w:lang w:val="es"/>
        </w:rPr>
        <w:t>, CLSI). A un autoestopista le gusta mantener las cosas simples, tener un mapa fácil de entender y llegar al destino con una mínima incomodidad. El destino de este autoestopista es demostrar brevemente a los laboratoristas de rutina, mediante el uso de jerga y estadísticas mínimas, que la MU es lógica, fácil de entender, útil y apropiada para implementar en los laboratorios clínicos [</w:t>
      </w:r>
      <w:hyperlink w:anchor="_bookmark0" w:history="1">
        <w:r w:rsidR="00724AE5" w:rsidRPr="00286381">
          <w:rPr>
            <w:snapToGrid w:val="0"/>
            <w:color w:val="0000FF"/>
            <w:sz w:val="23"/>
            <w:szCs w:val="23"/>
            <w:u w:val="single"/>
            <w:lang w:val="es"/>
          </w:rPr>
          <w:t>1,2</w:t>
        </w:r>
      </w:hyperlink>
      <w:r w:rsidRPr="00286381">
        <w:rPr>
          <w:snapToGrid w:val="0"/>
          <w:sz w:val="23"/>
          <w:szCs w:val="23"/>
          <w:lang w:val="es"/>
        </w:rPr>
        <w:t>].</w:t>
      </w:r>
    </w:p>
    <w:p w14:paraId="7C7C6D9E" w14:textId="77777777" w:rsidR="00724AE5" w:rsidRPr="00286381" w:rsidRDefault="00000000" w:rsidP="004A5FCE">
      <w:pPr>
        <w:pStyle w:val="Heading1"/>
        <w:spacing w:before="240"/>
        <w:rPr>
          <w:snapToGrid w:val="0"/>
          <w:sz w:val="27"/>
          <w:szCs w:val="27"/>
          <w:lang w:val="es-ES"/>
        </w:rPr>
      </w:pPr>
      <w:r w:rsidRPr="00286381">
        <w:rPr>
          <w:snapToGrid w:val="0"/>
          <w:sz w:val="27"/>
          <w:szCs w:val="27"/>
          <w:lang w:val="es"/>
        </w:rPr>
        <w:t>¿Qué tipos de mediciones de laboratorio deberían utilizar MU?</w:t>
      </w:r>
    </w:p>
    <w:p w14:paraId="1FD546A3" w14:textId="36ACF43F" w:rsidR="0061054E" w:rsidRPr="00286381" w:rsidRDefault="00000000" w:rsidP="004A5FCE">
      <w:pPr>
        <w:pStyle w:val="BodyText"/>
        <w:spacing w:before="120" w:line="254" w:lineRule="auto"/>
        <w:rPr>
          <w:b/>
          <w:bCs/>
          <w:snapToGrid w:val="0"/>
          <w:sz w:val="23"/>
          <w:szCs w:val="23"/>
          <w:lang w:val="es-ES"/>
        </w:rPr>
      </w:pPr>
      <w:r w:rsidRPr="00286381">
        <w:rPr>
          <w:snapToGrid w:val="0"/>
          <w:sz w:val="23"/>
          <w:szCs w:val="23"/>
          <w:lang w:val="es"/>
        </w:rPr>
        <w:t>Todo tipo de medida que tenga una magnitud expresada como un número (por ejemplo, 4,6, 1 x 10</w:t>
      </w:r>
      <w:r w:rsidRPr="00286381">
        <w:rPr>
          <w:snapToGrid w:val="0"/>
          <w:sz w:val="23"/>
          <w:szCs w:val="23"/>
          <w:vertAlign w:val="superscript"/>
          <w:lang w:val="es"/>
        </w:rPr>
        <w:t>-9</w:t>
      </w:r>
      <w:r w:rsidRPr="00286381">
        <w:rPr>
          <w:snapToGrid w:val="0"/>
          <w:sz w:val="23"/>
          <w:szCs w:val="23"/>
          <w:lang w:val="es"/>
        </w:rPr>
        <w:t>) y una referencia (por ejemplo, mmol/L, dimensión uno), por ejemplo, medición de la concentración de calcio plasmático, recuento de glóbulos blancos, número de repeticiones de nucleótidos CAG.</w:t>
      </w:r>
      <w:r w:rsidR="0061054E" w:rsidRPr="00286381">
        <w:rPr>
          <w:snapToGrid w:val="0"/>
          <w:sz w:val="23"/>
          <w:szCs w:val="23"/>
          <w:lang w:val="es"/>
        </w:rPr>
        <w:br w:type="page"/>
      </w:r>
    </w:p>
    <w:p w14:paraId="77E98AB0" w14:textId="3B3949E9" w:rsidR="00724AE5" w:rsidRPr="0004102D" w:rsidRDefault="00000000" w:rsidP="00F6462C">
      <w:pPr>
        <w:pStyle w:val="Heading1"/>
        <w:rPr>
          <w:snapToGrid w:val="0"/>
          <w:sz w:val="26"/>
          <w:szCs w:val="26"/>
          <w:lang w:val="es-ES"/>
        </w:rPr>
      </w:pPr>
      <w:r w:rsidRPr="0004102D">
        <w:rPr>
          <w:snapToGrid w:val="0"/>
          <w:sz w:val="26"/>
          <w:szCs w:val="26"/>
          <w:lang w:val="es"/>
        </w:rPr>
        <w:lastRenderedPageBreak/>
        <w:t>¿Por qué es importante la MU en los laboratorios clínicos de rutina?</w:t>
      </w:r>
    </w:p>
    <w:p w14:paraId="5624C4BD" w14:textId="2614C61D" w:rsidR="00724AE5" w:rsidRPr="0004102D" w:rsidRDefault="00000000" w:rsidP="0060193F">
      <w:pPr>
        <w:pStyle w:val="BodyText"/>
        <w:spacing w:before="304" w:line="254" w:lineRule="auto"/>
        <w:ind w:right="233"/>
        <w:rPr>
          <w:snapToGrid w:val="0"/>
          <w:sz w:val="22"/>
          <w:szCs w:val="22"/>
          <w:lang w:val="es-ES"/>
        </w:rPr>
      </w:pPr>
      <w:r w:rsidRPr="0004102D">
        <w:rPr>
          <w:snapToGrid w:val="0"/>
          <w:sz w:val="22"/>
          <w:szCs w:val="22"/>
          <w:lang w:val="es"/>
        </w:rPr>
        <w:t>Los clínicos comparan la mayoría de los resultados de las mediciones con valores de referencia y con resultados anteriores del mismo paciente. Por lo tanto, los resultados deberían ser fiables y precisos, pero en la práctica están sujetos al error. Cuando se verifican las características de desempeño de un procedimiento de medición de rutina, generalmente se realizan experimentos de repetibilidad, es decir, mediciones replicadas de la misma muestra en condiciones lo más constantes posible. Si el sistema de medición es suficientemente sensible, en general se obtendrán diversos resultados. ¿Cuál es el resultado verdadero para la muestra? Obviamente no podemos saberlo, pero es evidente que los resultados deben contener algún error, y la magnitud del error no es la misma para cada resultado. Por lo tanto, existe incertidumbre en cuanto a cuál es el valor verdadero. De manera similar se obtiene una dispersión de resultados si una muestra de paciente se mide repetidamente en condiciones replicadas.</w:t>
      </w:r>
    </w:p>
    <w:p w14:paraId="1D4810F8" w14:textId="77777777" w:rsidR="00724AE5" w:rsidRPr="0004102D" w:rsidRDefault="00000000" w:rsidP="00F6462C">
      <w:pPr>
        <w:pStyle w:val="BodyText"/>
        <w:spacing w:before="280" w:line="254" w:lineRule="auto"/>
        <w:ind w:right="238"/>
        <w:rPr>
          <w:snapToGrid w:val="0"/>
          <w:sz w:val="22"/>
          <w:szCs w:val="22"/>
          <w:lang w:val="es-ES"/>
        </w:rPr>
      </w:pPr>
      <w:r w:rsidRPr="0004102D">
        <w:rPr>
          <w:snapToGrid w:val="0"/>
          <w:sz w:val="22"/>
          <w:szCs w:val="22"/>
          <w:lang w:val="es"/>
        </w:rPr>
        <w:t xml:space="preserve">Un informe de </w:t>
      </w:r>
      <w:proofErr w:type="gramStart"/>
      <w:r w:rsidRPr="0004102D">
        <w:rPr>
          <w:snapToGrid w:val="0"/>
          <w:sz w:val="22"/>
          <w:szCs w:val="22"/>
          <w:lang w:val="es"/>
        </w:rPr>
        <w:t>un paciente muestra</w:t>
      </w:r>
      <w:proofErr w:type="gramEnd"/>
      <w:r w:rsidRPr="0004102D">
        <w:rPr>
          <w:snapToGrid w:val="0"/>
          <w:sz w:val="22"/>
          <w:szCs w:val="22"/>
          <w:lang w:val="es"/>
        </w:rPr>
        <w:t xml:space="preserve"> resultados de ruibarbo sérico en dos muestras recolectadas con una semana de diferencia como 3,1 mmol/L y 3,3 mmol/L; valor de referencia superior: 3,0 mmol/L. El clínico pregunta al laboratorio: ¿El primer resultado es definitivamente alto y el segundo resultado es realmente más alto que el primero? El laboratorio no puede responder sin tener algún conocimiento cuantitativo sobre la incertidumbre de medición asociada a cada uno de los resultados.</w:t>
      </w:r>
    </w:p>
    <w:p w14:paraId="08ED781D" w14:textId="77777777" w:rsidR="00724AE5" w:rsidRPr="002435D3" w:rsidRDefault="00000000" w:rsidP="00F6462C">
      <w:pPr>
        <w:pStyle w:val="Heading1"/>
        <w:spacing w:before="300"/>
        <w:rPr>
          <w:snapToGrid w:val="0"/>
          <w:sz w:val="27"/>
          <w:szCs w:val="27"/>
          <w:lang w:val="es-ES"/>
        </w:rPr>
      </w:pPr>
      <w:r w:rsidRPr="002435D3">
        <w:rPr>
          <w:snapToGrid w:val="0"/>
          <w:sz w:val="27"/>
          <w:szCs w:val="27"/>
          <w:lang w:val="es"/>
        </w:rPr>
        <w:t>¿Puede ayudar el método del Error total (TE)?</w:t>
      </w:r>
    </w:p>
    <w:p w14:paraId="1925A8F5" w14:textId="77777777" w:rsidR="00724AE5" w:rsidRPr="0004102D" w:rsidRDefault="00000000">
      <w:pPr>
        <w:pStyle w:val="BodyText"/>
        <w:spacing w:before="304" w:line="254" w:lineRule="auto"/>
        <w:ind w:right="521"/>
        <w:rPr>
          <w:snapToGrid w:val="0"/>
          <w:sz w:val="22"/>
          <w:szCs w:val="22"/>
          <w:lang w:val="es-ES"/>
        </w:rPr>
      </w:pPr>
      <w:r w:rsidRPr="0004102D">
        <w:rPr>
          <w:snapToGrid w:val="0"/>
          <w:sz w:val="22"/>
          <w:szCs w:val="22"/>
          <w:lang w:val="es"/>
        </w:rPr>
        <w:t>El enfoque de Error total (Total Error, TE) identifica el error sistemático (sesgo) y el error aleatorio (imprecisión) como los dos componentes del error de medición total. El sesgo es una desviación predecible de los resultados con respecto a un valor de referencia, generalmente estimado como la diferencia entre un valor de referencia y el resultado medio obtenido cuando la referencia se mide por réplica mediante el procedimiento de medición de rutina. El valor de referencia elegido puede ser un material de referencia certificado, una media de un grupo de pares en una Evaluación externa de la calidad (</w:t>
      </w:r>
      <w:proofErr w:type="spellStart"/>
      <w:r w:rsidRPr="0004102D">
        <w:rPr>
          <w:snapToGrid w:val="0"/>
          <w:sz w:val="22"/>
          <w:szCs w:val="22"/>
          <w:lang w:val="es"/>
        </w:rPr>
        <w:t>External</w:t>
      </w:r>
      <w:proofErr w:type="spellEnd"/>
      <w:r w:rsidRPr="0004102D">
        <w:rPr>
          <w:snapToGrid w:val="0"/>
          <w:sz w:val="22"/>
          <w:szCs w:val="22"/>
          <w:lang w:val="es"/>
        </w:rPr>
        <w:t xml:space="preserve"> </w:t>
      </w:r>
      <w:proofErr w:type="spellStart"/>
      <w:r w:rsidRPr="0004102D">
        <w:rPr>
          <w:snapToGrid w:val="0"/>
          <w:sz w:val="22"/>
          <w:szCs w:val="22"/>
          <w:lang w:val="es"/>
        </w:rPr>
        <w:t>Quality</w:t>
      </w:r>
      <w:proofErr w:type="spellEnd"/>
      <w:r w:rsidRPr="0004102D">
        <w:rPr>
          <w:snapToGrid w:val="0"/>
          <w:sz w:val="22"/>
          <w:szCs w:val="22"/>
          <w:lang w:val="es"/>
        </w:rPr>
        <w:t xml:space="preserve"> </w:t>
      </w:r>
      <w:proofErr w:type="spellStart"/>
      <w:r w:rsidRPr="0004102D">
        <w:rPr>
          <w:snapToGrid w:val="0"/>
          <w:sz w:val="22"/>
          <w:szCs w:val="22"/>
          <w:lang w:val="es"/>
        </w:rPr>
        <w:t>Assessment</w:t>
      </w:r>
      <w:proofErr w:type="spellEnd"/>
      <w:r w:rsidRPr="0004102D">
        <w:rPr>
          <w:snapToGrid w:val="0"/>
          <w:sz w:val="22"/>
          <w:szCs w:val="22"/>
          <w:lang w:val="es"/>
        </w:rPr>
        <w:t>, EQA), etc. Por lo tanto, el sesgo tiene un valor que puede usarse para eliminar o minimizar la desviación, por ejemplo, mediante una recalibración o un ajuste de los resultados brutos con un factor de corrección.</w:t>
      </w:r>
    </w:p>
    <w:p w14:paraId="4C63F080" w14:textId="25DB12E2" w:rsidR="00724AE5" w:rsidRPr="0004102D" w:rsidRDefault="00000000" w:rsidP="00F102B3">
      <w:pPr>
        <w:pStyle w:val="BodyText"/>
        <w:widowControl/>
        <w:spacing w:before="300" w:line="254" w:lineRule="auto"/>
        <w:ind w:left="115" w:right="230"/>
        <w:rPr>
          <w:snapToGrid w:val="0"/>
          <w:sz w:val="22"/>
          <w:szCs w:val="22"/>
          <w:lang w:val="es-ES"/>
        </w:rPr>
      </w:pPr>
      <w:r w:rsidRPr="0004102D">
        <w:rPr>
          <w:snapToGrid w:val="0"/>
          <w:sz w:val="22"/>
          <w:szCs w:val="22"/>
          <w:lang w:val="es"/>
        </w:rPr>
        <w:t xml:space="preserve">La magnitud de la imprecisión es impredecible para cada resultado de medición producido por un ensayo, debido a factores tales como fluctuaciones en el rendimiento electromecánico, cambios de lotes de reactivos y calibradores, diferentes operadores y mantenimiento de rutina del instrumento. La imprecisión generalmente se estima mediante la medición de materiales de control de calidad en diferentes ejecuciones analíticas distribuidas en un tiempo suficiente para incluir tantos como sea posible de los cambios de rutina mencionados anteriormente en las condiciones de medición. Se considera que la dispersión de los resultados obtenidos a lo largo del tiempo para el mismo lote de control de calidad se aproxima a una </w:t>
      </w:r>
      <w:r w:rsidRPr="0004102D">
        <w:rPr>
          <w:snapToGrid w:val="0"/>
          <w:sz w:val="22"/>
          <w:szCs w:val="22"/>
          <w:lang w:val="es"/>
        </w:rPr>
        <w:lastRenderedPageBreak/>
        <w:t xml:space="preserve">distribución gaussiana (normal), de modo que la magnitud de la dispersión se puede cuantificar estadísticamente como una desviación estándar (Standard </w:t>
      </w:r>
      <w:proofErr w:type="spellStart"/>
      <w:r w:rsidRPr="0004102D">
        <w:rPr>
          <w:snapToGrid w:val="0"/>
          <w:sz w:val="22"/>
          <w:szCs w:val="22"/>
          <w:lang w:val="es"/>
        </w:rPr>
        <w:t>Deviation</w:t>
      </w:r>
      <w:proofErr w:type="spellEnd"/>
      <w:r w:rsidRPr="0004102D">
        <w:rPr>
          <w:snapToGrid w:val="0"/>
          <w:sz w:val="22"/>
          <w:szCs w:val="22"/>
          <w:lang w:val="es"/>
        </w:rPr>
        <w:t>, SD) del valor medio. Los laboratorios parten de la suposición, que no siempre es cierta, de que las muestras de pacientes se comportan como lo hacen las muestras de control de calidad en un sistema de medición, de modo que se espera que la dispersión de los resultados sea similar si la muestra de un paciente se mide repetidamente, es decir, si tiene una imprecisión similar.</w:t>
      </w:r>
    </w:p>
    <w:p w14:paraId="0AAB06BC" w14:textId="77777777" w:rsidR="00724AE5" w:rsidRPr="0004102D" w:rsidRDefault="00000000" w:rsidP="00286381">
      <w:pPr>
        <w:pStyle w:val="BodyText"/>
        <w:spacing w:before="360" w:line="254" w:lineRule="auto"/>
        <w:ind w:right="238"/>
        <w:rPr>
          <w:snapToGrid w:val="0"/>
          <w:sz w:val="22"/>
          <w:szCs w:val="22"/>
          <w:lang w:val="es-ES"/>
        </w:rPr>
      </w:pPr>
      <w:r w:rsidRPr="0004102D">
        <w:rPr>
          <w:snapToGrid w:val="0"/>
          <w:sz w:val="22"/>
          <w:szCs w:val="22"/>
          <w:lang w:val="es"/>
        </w:rPr>
        <w:t>El concepto de Error total describe el error total de un sistema de medición como: TE = Sesgo + 1,65 SD, donde 1,65 SD representa la dispersión de ~95 % de los resultados obtenidos en un lado de la Curva de Gauss de imprecisión.</w:t>
      </w:r>
    </w:p>
    <w:p w14:paraId="2B17B0F8" w14:textId="77777777" w:rsidR="00724AE5" w:rsidRPr="002435D3" w:rsidRDefault="00000000" w:rsidP="009B026E">
      <w:pPr>
        <w:pStyle w:val="Heading1"/>
        <w:spacing w:before="300"/>
        <w:rPr>
          <w:snapToGrid w:val="0"/>
          <w:sz w:val="27"/>
          <w:szCs w:val="27"/>
          <w:lang w:val="es-ES"/>
        </w:rPr>
      </w:pPr>
      <w:r w:rsidRPr="002435D3">
        <w:rPr>
          <w:snapToGrid w:val="0"/>
          <w:sz w:val="27"/>
          <w:szCs w:val="27"/>
          <w:lang w:val="es"/>
        </w:rPr>
        <w:t>Limitaciones del concepto de Error total (TE)</w:t>
      </w:r>
    </w:p>
    <w:p w14:paraId="46ECE985" w14:textId="77777777" w:rsidR="00724AE5" w:rsidRPr="0004102D" w:rsidRDefault="00000000">
      <w:pPr>
        <w:pStyle w:val="BodyText"/>
        <w:spacing w:before="304" w:line="254" w:lineRule="auto"/>
        <w:ind w:right="233"/>
        <w:rPr>
          <w:snapToGrid w:val="0"/>
          <w:sz w:val="22"/>
          <w:szCs w:val="22"/>
          <w:lang w:val="es-ES"/>
        </w:rPr>
      </w:pPr>
      <w:r w:rsidRPr="0004102D">
        <w:rPr>
          <w:snapToGrid w:val="0"/>
          <w:sz w:val="22"/>
          <w:szCs w:val="22"/>
          <w:lang w:val="es"/>
        </w:rPr>
        <w:t>Existen varios problemas con el enfoque del Error total cuando se aplica a resultados individuales:</w:t>
      </w:r>
    </w:p>
    <w:p w14:paraId="400D07B9" w14:textId="77777777" w:rsidR="00724AE5" w:rsidRPr="0004102D" w:rsidRDefault="00000000" w:rsidP="001D3968">
      <w:pPr>
        <w:pStyle w:val="ListParagraph"/>
        <w:numPr>
          <w:ilvl w:val="0"/>
          <w:numId w:val="2"/>
        </w:numPr>
        <w:tabs>
          <w:tab w:val="left" w:pos="541"/>
        </w:tabs>
        <w:spacing w:before="300" w:line="254" w:lineRule="auto"/>
        <w:ind w:right="0" w:firstLine="0"/>
        <w:rPr>
          <w:snapToGrid w:val="0"/>
          <w:lang w:val="es-ES"/>
        </w:rPr>
      </w:pPr>
      <w:r w:rsidRPr="0004102D">
        <w:rPr>
          <w:snapToGrid w:val="0"/>
          <w:lang w:val="es"/>
        </w:rPr>
        <w:t>No se puede conocer con exactitud un valor de sesgo. Por ejemplo, los valores de analito asignados a materiales de referencia certificados son inexactos y se expresan en forma de unidades x ± y. Además, un valor medio obtenido para el material de referencia a partir de mediciones replicadas mediante el ensayo de rutina tiene una imprecisión inevitable, de modo que el valor medio utilizando el procedimiento de rutina también está en forma de unidades x ± y. Como ambos valores utilizados para calcular el sesgo tienen incertidumbre, el valor del sesgo no se puede conocer con exactitud. De manera similar, el error aleatorio es solo eso, por lo que no se puede conocer con exactitud para un resultado de medición individual. Por lo tanto, no se puede conocer con exactitud el error total del resultado de una medición. Esto es inevitable incluso con procedimientos de medición de referencia de última generación, por lo que los valores de analito asignados a los materiales de referencia certificados se indican en forma de unidades x ± y.</w:t>
      </w:r>
    </w:p>
    <w:p w14:paraId="21F7AD88" w14:textId="77777777" w:rsidR="00724AE5" w:rsidRPr="0004102D" w:rsidRDefault="00000000" w:rsidP="009B026E">
      <w:pPr>
        <w:pStyle w:val="ListParagraph"/>
        <w:numPr>
          <w:ilvl w:val="0"/>
          <w:numId w:val="2"/>
        </w:numPr>
        <w:tabs>
          <w:tab w:val="left" w:pos="541"/>
        </w:tabs>
        <w:spacing w:before="300" w:line="254" w:lineRule="auto"/>
        <w:ind w:firstLine="0"/>
        <w:rPr>
          <w:snapToGrid w:val="0"/>
          <w:lang w:val="es-ES"/>
        </w:rPr>
      </w:pPr>
      <w:r w:rsidRPr="0004102D">
        <w:rPr>
          <w:snapToGrid w:val="0"/>
          <w:lang w:val="es"/>
        </w:rPr>
        <w:t>El cálculo del error total es el valor del sesgo + 1,65 SD. Si se conoce un valor del sesgo en un procedimiento de medición, ¿por qué el enfoque de error total lo incluye en el cálculo del error total en lugar de eliminarlo o minimizarlo mediante una recalibración o la aplicación de un factor de corrección a los resultados brutos? Si no se puede obtener un valor de sesgo, entonces el sesgo es desconocido y no se puede abordar.</w:t>
      </w:r>
    </w:p>
    <w:p w14:paraId="7A0FB51D" w14:textId="77777777" w:rsidR="00724AE5" w:rsidRPr="0004102D" w:rsidRDefault="00000000" w:rsidP="009B026E">
      <w:pPr>
        <w:pStyle w:val="ListParagraph"/>
        <w:numPr>
          <w:ilvl w:val="0"/>
          <w:numId w:val="2"/>
        </w:numPr>
        <w:tabs>
          <w:tab w:val="left" w:pos="541"/>
        </w:tabs>
        <w:spacing w:before="280" w:line="254" w:lineRule="auto"/>
        <w:ind w:firstLine="0"/>
        <w:rPr>
          <w:snapToGrid w:val="0"/>
          <w:lang w:val="es-ES"/>
        </w:rPr>
      </w:pPr>
      <w:r w:rsidRPr="0004102D">
        <w:rPr>
          <w:snapToGrid w:val="0"/>
          <w:lang w:val="es"/>
        </w:rPr>
        <w:t>El cálculo de TE agrega un valor de sesgo a una distribución de probabilidad (1,65 SD) para calcular un valor máximo probable para el error de un sistema de medición. Esto es como sumar una manzana y una pera. Como sabemos al observar los resultados de control de calidad, los resultados individuales para el mismo material contienen diferentes magnitudes de error, por lo que vemos una dispersión de resultados. Por este motivo, el enfoque de TE no puede aplicarse a resultados individuales porque no permite la posibilidad de que en el resultado de cualquier paciente individual la imprecisión pueda diferir de 1,65 SD.</w:t>
      </w:r>
    </w:p>
    <w:p w14:paraId="33AC4AE7" w14:textId="0D341FF6" w:rsidR="00724AE5" w:rsidRPr="0004102D" w:rsidRDefault="00000000" w:rsidP="00070B74">
      <w:pPr>
        <w:pStyle w:val="BodyText"/>
        <w:spacing w:before="280" w:line="254" w:lineRule="auto"/>
        <w:ind w:right="233"/>
        <w:rPr>
          <w:snapToGrid w:val="0"/>
          <w:sz w:val="22"/>
          <w:szCs w:val="22"/>
          <w:lang w:val="es-ES"/>
        </w:rPr>
      </w:pPr>
      <w:r w:rsidRPr="0004102D">
        <w:rPr>
          <w:snapToGrid w:val="0"/>
          <w:sz w:val="22"/>
          <w:szCs w:val="22"/>
          <w:lang w:val="es"/>
        </w:rPr>
        <w:t xml:space="preserve">En resumen, aunque el error de medición no se puede conocer con exactitud, el concepto de Error total tiene valor teórico y en la práctica es útil en </w:t>
      </w:r>
      <w:r w:rsidRPr="0004102D">
        <w:rPr>
          <w:snapToGrid w:val="0"/>
          <w:sz w:val="22"/>
          <w:szCs w:val="22"/>
          <w:lang w:val="es"/>
        </w:rPr>
        <w:lastRenderedPageBreak/>
        <w:t>situaciones donde se requiere establecer un límite superior aceptable de error total para los resultados de medición, por ejemplo, mediciones de colesterol plasmático o drogas en el deporte. Este enfoque no es adecuado si se tiene en cuenta la incertidumbre de los resultados individuales.</w:t>
      </w:r>
    </w:p>
    <w:p w14:paraId="7FC3F29F" w14:textId="77777777" w:rsidR="00724AE5" w:rsidRPr="002435D3" w:rsidRDefault="00000000" w:rsidP="009B026E">
      <w:pPr>
        <w:pStyle w:val="Heading1"/>
        <w:spacing w:before="280"/>
        <w:rPr>
          <w:snapToGrid w:val="0"/>
          <w:sz w:val="27"/>
          <w:szCs w:val="27"/>
          <w:lang w:val="es-ES"/>
        </w:rPr>
      </w:pPr>
      <w:r w:rsidRPr="002435D3">
        <w:rPr>
          <w:snapToGrid w:val="0"/>
          <w:sz w:val="27"/>
          <w:szCs w:val="27"/>
          <w:lang w:val="es"/>
        </w:rPr>
        <w:t>¿Qué es la incertidumbre de medición (MU)?</w:t>
      </w:r>
    </w:p>
    <w:p w14:paraId="1B3FC3D0" w14:textId="77777777" w:rsidR="00724AE5" w:rsidRPr="0004102D" w:rsidRDefault="00000000">
      <w:pPr>
        <w:pStyle w:val="BodyText"/>
        <w:spacing w:before="304" w:line="254" w:lineRule="auto"/>
        <w:ind w:right="234"/>
        <w:rPr>
          <w:snapToGrid w:val="0"/>
          <w:sz w:val="22"/>
          <w:szCs w:val="22"/>
          <w:lang w:val="es-ES"/>
        </w:rPr>
      </w:pPr>
      <w:r w:rsidRPr="0004102D">
        <w:rPr>
          <w:snapToGrid w:val="0"/>
          <w:sz w:val="22"/>
          <w:szCs w:val="22"/>
          <w:lang w:val="es"/>
        </w:rPr>
        <w:t>A diferencia del TE, la MU no se ocupa de estimar el error de medición. Los laboratorios de rutina generalmente miden una muestra de paciente una vez en lugar de muchas veces y, por lo tanto, el enfoque de MU se centra en identificar la dispersión de resultados que podrían haberse obtenido para un analito si una muestra se hubiera medido repetidamente en lugar de una sola vez. Para ello, el enfoque de MU utiliza datos disponibles sobre mediciones repetidas de un sistema de medición determinado para definir un intervalo de valores dentro del cual se cree que se encuentra el valor verdadero del analito medido, con un nivel de confianza establecido. Por ejemplo, si el resultado de una concentración de glucosa en plasma fue 4,5 mmol/L, la disponibilidad de información de MU adecuada podría brindar al laboratorio un 95 % de confianza de que el valor verdadero de la concentración de glucosa en la muestra se encuentra en el rango de 4,4 a 4,6 mmol/L.</w:t>
      </w:r>
    </w:p>
    <w:p w14:paraId="71E03226" w14:textId="77777777" w:rsidR="00724AE5" w:rsidRPr="0004102D" w:rsidRDefault="00000000" w:rsidP="009B026E">
      <w:pPr>
        <w:pStyle w:val="BodyText"/>
        <w:spacing w:before="280" w:line="254" w:lineRule="auto"/>
        <w:ind w:right="233"/>
        <w:rPr>
          <w:snapToGrid w:val="0"/>
          <w:sz w:val="22"/>
          <w:szCs w:val="22"/>
          <w:lang w:val="es-ES"/>
        </w:rPr>
      </w:pPr>
      <w:r w:rsidRPr="0004102D">
        <w:rPr>
          <w:snapToGrid w:val="0"/>
          <w:sz w:val="22"/>
          <w:szCs w:val="22"/>
          <w:lang w:val="es"/>
        </w:rPr>
        <w:t>En resumen, la MU no estima el error, sino que proporciona una estimación cuantitativa de dónde cree el laboratorio que se encuentra el valor verdadero de un analito medido, con un nivel de confianza establecido. Como tal, el término incertidumbre de medición tiende a dar una impresión equivocada, ya que en realidad es una indicación cuantitativa del nivel de confianza o creencia que tiene el laboratorio sobre la calidad de un resultado. Por tanto, la MU es un parámetro esencial de la fiabilidad de los resultados de las mediciones. El parámetro básico de la MU es 1 SD. Nota: La MU es una propiedad de los resultados de la medición, no del procedimiento de medición que los produce.</w:t>
      </w:r>
    </w:p>
    <w:p w14:paraId="6F7AB568" w14:textId="77777777" w:rsidR="00724AE5" w:rsidRPr="002435D3" w:rsidRDefault="00000000" w:rsidP="009B026E">
      <w:pPr>
        <w:pStyle w:val="Heading1"/>
        <w:spacing w:before="300"/>
        <w:rPr>
          <w:snapToGrid w:val="0"/>
          <w:sz w:val="27"/>
          <w:szCs w:val="27"/>
          <w:lang w:val="es-ES"/>
        </w:rPr>
      </w:pPr>
      <w:r w:rsidRPr="002435D3">
        <w:rPr>
          <w:snapToGrid w:val="0"/>
          <w:sz w:val="27"/>
          <w:szCs w:val="27"/>
          <w:lang w:val="es"/>
        </w:rPr>
        <w:t>¿Qué incluye la MU?</w:t>
      </w:r>
    </w:p>
    <w:p w14:paraId="518E509D" w14:textId="77777777" w:rsidR="00724AE5" w:rsidRPr="0004102D" w:rsidRDefault="00000000">
      <w:pPr>
        <w:pStyle w:val="BodyText"/>
        <w:spacing w:before="304" w:line="254" w:lineRule="auto"/>
        <w:ind w:right="233"/>
        <w:rPr>
          <w:snapToGrid w:val="0"/>
          <w:sz w:val="22"/>
          <w:szCs w:val="22"/>
          <w:lang w:val="es-ES"/>
        </w:rPr>
      </w:pPr>
      <w:r w:rsidRPr="0004102D">
        <w:rPr>
          <w:snapToGrid w:val="0"/>
          <w:sz w:val="22"/>
          <w:szCs w:val="22"/>
          <w:lang w:val="es"/>
        </w:rPr>
        <w:t>Las numerosas fuentes potenciales de variabilidad de los resultados de las mediciones de pacientes se clasifican tradicionalmente como mediciones previas (por ejemplo, variación biológica dentro de la persona, estrés, medicamentos, transporte de muestras, etc.) y mediciones posteriores (por ejemplo, redondeo de resultados). Para muchos analitos, la magnitud de las variabilidades previas a la medición supera a las asociadas con el proceso de medición. Sin embargo, la MU solo se ocupa de las incertidumbres que surgen dentro del propio proceso de medición,</w:t>
      </w:r>
    </w:p>
    <w:p w14:paraId="5BB77E5C" w14:textId="77777777" w:rsidR="00724AE5" w:rsidRPr="0004102D" w:rsidRDefault="00000000">
      <w:pPr>
        <w:pStyle w:val="BodyText"/>
        <w:spacing w:line="254" w:lineRule="auto"/>
        <w:ind w:right="238"/>
        <w:rPr>
          <w:snapToGrid w:val="0"/>
          <w:sz w:val="22"/>
          <w:szCs w:val="22"/>
          <w:lang w:val="es-ES"/>
        </w:rPr>
      </w:pPr>
      <w:r w:rsidRPr="0004102D">
        <w:rPr>
          <w:snapToGrid w:val="0"/>
          <w:sz w:val="22"/>
          <w:szCs w:val="22"/>
          <w:lang w:val="es"/>
        </w:rPr>
        <w:t>por ejemplo, muestreo de tubo primario o preparación de muestra para obtener resultados. Para analitos específicos o propósitos clínicos, las incertidumbres preanalíticas, si se pueden expresar como una desviación estándar, se pueden combinar con la MU.</w:t>
      </w:r>
    </w:p>
    <w:p w14:paraId="67D40111" w14:textId="77777777" w:rsidR="00724AE5" w:rsidRPr="002435D3" w:rsidRDefault="00000000" w:rsidP="009B026E">
      <w:pPr>
        <w:pStyle w:val="Heading1"/>
        <w:spacing w:before="300"/>
        <w:rPr>
          <w:snapToGrid w:val="0"/>
          <w:sz w:val="27"/>
          <w:szCs w:val="27"/>
          <w:lang w:val="es-ES"/>
        </w:rPr>
      </w:pPr>
      <w:r w:rsidRPr="002435D3">
        <w:rPr>
          <w:snapToGrid w:val="0"/>
          <w:sz w:val="27"/>
          <w:szCs w:val="27"/>
          <w:lang w:val="es"/>
        </w:rPr>
        <w:t>¿Cómo maneja la MU el sesgo?</w:t>
      </w:r>
    </w:p>
    <w:p w14:paraId="7D3AFF89" w14:textId="51A6659D" w:rsidR="00724AE5" w:rsidRPr="0004102D" w:rsidRDefault="00000000" w:rsidP="00EE7E4A">
      <w:pPr>
        <w:pStyle w:val="BodyText"/>
        <w:spacing w:before="304" w:line="254" w:lineRule="auto"/>
        <w:ind w:left="115" w:right="173"/>
        <w:rPr>
          <w:snapToGrid w:val="0"/>
          <w:sz w:val="22"/>
          <w:szCs w:val="22"/>
          <w:lang w:val="es-ES"/>
        </w:rPr>
      </w:pPr>
      <w:r w:rsidRPr="0004102D">
        <w:rPr>
          <w:snapToGrid w:val="0"/>
          <w:sz w:val="22"/>
          <w:szCs w:val="22"/>
          <w:lang w:val="es"/>
        </w:rPr>
        <w:t xml:space="preserve">El sesgo es un valor de desviación predecible en relación con una referencia apropiada, por ejemplo, el valor asignado de un material de referencia convencional o secundario certificado, o un grupo de pares o todo valor </w:t>
      </w:r>
      <w:r w:rsidRPr="0004102D">
        <w:rPr>
          <w:snapToGrid w:val="0"/>
          <w:sz w:val="22"/>
          <w:szCs w:val="22"/>
          <w:lang w:val="es"/>
        </w:rPr>
        <w:lastRenderedPageBreak/>
        <w:t>objetivo promedio en una EQA o un ensayo entre laboratorios si se busca una mejor alineación entre ensayos. Cualquiera sea el enfoque utilizado para determinar un valor de sesgo para un procedimiento de medición de rutina, el enfoque de MU supone que el sesgo conocido se elimina o se minimiza, por ejemplo, mediante recalibración. Como se mencionó anteriormente, un valor de sesgo no se puede conocer con exactitud y, por lo tanto, el sesgo no se puede eliminar por completo. El enfoque de MU reconoce que el valor utilizado para la corrección del sesgo tiene una incertidumbre asociada, que es la combinación de la incertidumbre del propio valor de referencia (si está disponible) y el error estándar del valor medio obtenido a partir de las mediciones replicadas de la referencia producida por el procedimiento de medición. Por lo tanto, la incertidumbre del valor del sesgo se expresa como desviación estándar. Si no se puede estimar el sesgo, entonces se desconoce su magnitud y no se puede abordar.</w:t>
      </w:r>
    </w:p>
    <w:p w14:paraId="12D72604" w14:textId="77777777" w:rsidR="00724AE5" w:rsidRPr="0004102D" w:rsidRDefault="00000000" w:rsidP="009F46F2">
      <w:pPr>
        <w:pStyle w:val="BodyText"/>
        <w:spacing w:before="580" w:line="254" w:lineRule="auto"/>
        <w:ind w:left="115" w:right="245"/>
        <w:rPr>
          <w:snapToGrid w:val="0"/>
          <w:sz w:val="22"/>
          <w:szCs w:val="22"/>
          <w:lang w:val="es-ES"/>
        </w:rPr>
      </w:pPr>
      <w:r w:rsidRPr="0004102D">
        <w:rPr>
          <w:snapToGrid w:val="0"/>
          <w:sz w:val="22"/>
          <w:szCs w:val="22"/>
          <w:lang w:val="es"/>
        </w:rPr>
        <w:t>En resumen, si se conoce el sesgo y se considera significativo, entonces debería eliminarse o minimizarse en el sistema de medición. En cuanto a si un sesgo se considera significativo, se puede determinar estadísticamente o ser un juicio profesional; por ejemplo, un sesgo de 0,1 mmol/L para las mediciones de calcio plasmático es obviamente significativo, mientras que es poco probable que un sesgo de 0,001 mmol/L se considere como tal. Si se ha estimado un valor de sesgo, debe tenerse en cuenta la incertidumbre del valor utilizado para la corrección del sesgo para incluirlo en el cálculo de la MU general para los resultados producidos por un procedimiento de medición determinado.</w:t>
      </w:r>
    </w:p>
    <w:p w14:paraId="6827A183" w14:textId="77777777" w:rsidR="00724AE5" w:rsidRPr="002435D3" w:rsidRDefault="00000000" w:rsidP="009B026E">
      <w:pPr>
        <w:pStyle w:val="Heading1"/>
        <w:spacing w:before="280"/>
        <w:rPr>
          <w:snapToGrid w:val="0"/>
          <w:sz w:val="27"/>
          <w:szCs w:val="27"/>
          <w:lang w:val="es-ES"/>
        </w:rPr>
      </w:pPr>
      <w:r w:rsidRPr="002435D3">
        <w:rPr>
          <w:snapToGrid w:val="0"/>
          <w:sz w:val="27"/>
          <w:szCs w:val="27"/>
          <w:lang w:val="es"/>
        </w:rPr>
        <w:t>¿Cómo se estima la MU?</w:t>
      </w:r>
    </w:p>
    <w:p w14:paraId="536C1C05" w14:textId="77777777" w:rsidR="00724AE5" w:rsidRPr="0004102D" w:rsidRDefault="00000000">
      <w:pPr>
        <w:pStyle w:val="BodyText"/>
        <w:spacing w:before="304" w:line="254" w:lineRule="auto"/>
        <w:ind w:right="233"/>
        <w:rPr>
          <w:snapToGrid w:val="0"/>
          <w:sz w:val="22"/>
          <w:szCs w:val="22"/>
          <w:lang w:val="es-ES"/>
        </w:rPr>
      </w:pPr>
      <w:r w:rsidRPr="0004102D">
        <w:rPr>
          <w:snapToGrid w:val="0"/>
          <w:sz w:val="22"/>
          <w:szCs w:val="22"/>
          <w:lang w:val="es"/>
        </w:rPr>
        <w:t>Dado que el enfoque de MU requiere que el sesgo conocido se elimine o minimice, o se ignore si es desconocido, nos quedamos con:</w:t>
      </w:r>
    </w:p>
    <w:p w14:paraId="28BC4B4F" w14:textId="2C2B6F68" w:rsidR="00724AE5" w:rsidRPr="0004102D" w:rsidRDefault="00000000" w:rsidP="00E63D56">
      <w:pPr>
        <w:pStyle w:val="BodyText"/>
        <w:numPr>
          <w:ilvl w:val="0"/>
          <w:numId w:val="5"/>
        </w:numPr>
        <w:tabs>
          <w:tab w:val="left" w:pos="686"/>
        </w:tabs>
        <w:spacing w:before="280"/>
        <w:ind w:hanging="414"/>
        <w:rPr>
          <w:snapToGrid w:val="0"/>
          <w:sz w:val="22"/>
          <w:szCs w:val="22"/>
          <w:lang w:val="es-ES"/>
        </w:rPr>
      </w:pPr>
      <w:r w:rsidRPr="0004102D">
        <w:rPr>
          <w:snapToGrid w:val="0"/>
          <w:sz w:val="22"/>
          <w:szCs w:val="22"/>
          <w:lang w:val="es"/>
        </w:rPr>
        <w:t>imprecisión del sistema de medición,</w:t>
      </w:r>
    </w:p>
    <w:p w14:paraId="5AA1D610" w14:textId="3BC3EDA9" w:rsidR="00724AE5" w:rsidRPr="0004102D" w:rsidRDefault="00000000" w:rsidP="00E63D56">
      <w:pPr>
        <w:pStyle w:val="BodyText"/>
        <w:numPr>
          <w:ilvl w:val="0"/>
          <w:numId w:val="5"/>
        </w:numPr>
        <w:tabs>
          <w:tab w:val="left" w:pos="686"/>
        </w:tabs>
        <w:spacing w:before="16" w:line="204" w:lineRule="auto"/>
        <w:ind w:right="1094" w:hanging="418"/>
        <w:rPr>
          <w:snapToGrid w:val="0"/>
          <w:sz w:val="22"/>
          <w:szCs w:val="22"/>
          <w:lang w:val="es-ES"/>
        </w:rPr>
      </w:pPr>
      <w:r w:rsidRPr="0004102D">
        <w:rPr>
          <w:snapToGrid w:val="0"/>
          <w:sz w:val="22"/>
          <w:szCs w:val="22"/>
          <w:lang w:val="es"/>
        </w:rPr>
        <w:t>imprecisión del valor de sesgo utilizado si se eliminó o minimizó el sesgo.</w:t>
      </w:r>
    </w:p>
    <w:p w14:paraId="0143DF67" w14:textId="77777777" w:rsidR="00724AE5" w:rsidRPr="0004102D" w:rsidRDefault="00000000" w:rsidP="00E63D56">
      <w:pPr>
        <w:pStyle w:val="BodyText"/>
        <w:spacing w:before="320" w:line="254" w:lineRule="auto"/>
        <w:ind w:right="233"/>
        <w:rPr>
          <w:snapToGrid w:val="0"/>
          <w:sz w:val="22"/>
          <w:szCs w:val="22"/>
          <w:lang w:val="es-ES"/>
        </w:rPr>
      </w:pPr>
      <w:r w:rsidRPr="0004102D">
        <w:rPr>
          <w:snapToGrid w:val="0"/>
          <w:sz w:val="22"/>
          <w:szCs w:val="22"/>
          <w:lang w:val="es"/>
        </w:rPr>
        <w:t>Para la mayoría de los sistemas de medición, la magnitud de la imprecisión de la reproducibilidad intermedia es grande en relación con la de la corrección de sesgo y, por lo tanto, para la mayoría de los procedimientos de medición, la MU es simplemente la reproducibilidad intermedia evaluada utilizando el control de calidad, generalmente expresada como 1 SD o % de coeficiente de variación (CV).</w:t>
      </w:r>
    </w:p>
    <w:p w14:paraId="0F8B3E21" w14:textId="6B5C206F" w:rsidR="00724AE5" w:rsidRPr="0004102D" w:rsidRDefault="00000000" w:rsidP="0060193F">
      <w:pPr>
        <w:pStyle w:val="BodyText"/>
        <w:spacing w:before="280" w:line="254" w:lineRule="auto"/>
        <w:ind w:right="233"/>
        <w:rPr>
          <w:snapToGrid w:val="0"/>
          <w:sz w:val="22"/>
          <w:szCs w:val="22"/>
          <w:lang w:val="es-ES"/>
        </w:rPr>
      </w:pPr>
      <w:r w:rsidRPr="0004102D">
        <w:rPr>
          <w:snapToGrid w:val="0"/>
          <w:sz w:val="22"/>
          <w:szCs w:val="22"/>
          <w:lang w:val="es"/>
        </w:rPr>
        <w:t xml:space="preserve">Los procedimientos de medición son a menudo sistemas automatizados de "caja negra" que no permiten estudiar individualmente los componentes (por ejemplo, sondas de muestreo/reactivos, baños de agua, espectrofotómetros, etc.) para determinar su incertidumbre. Afortunadamente, nos interesa el efecto combinado de las fuentes individuales de variabilidad en los resultados de las mediciones, y esto se refleja adecuadamente en la dispersión de los resultados obtenidos para las muestras de control de calidad. Dado que los resultados de los pacientes se comparan entre sí y con valores de referencia a lo largo del tiempo, es apropiado que los datos de </w:t>
      </w:r>
      <w:r w:rsidRPr="0004102D">
        <w:rPr>
          <w:snapToGrid w:val="0"/>
          <w:sz w:val="22"/>
          <w:szCs w:val="22"/>
          <w:lang w:val="es"/>
        </w:rPr>
        <w:lastRenderedPageBreak/>
        <w:t xml:space="preserve">control de calidad utilizados para los cálculos de MU se obtengan durante un período suficiente para capturar la variabilidad debido a cambios que ocurren de forma rutinaria en el sistema de medición, por ejemplo, cambios de lotes de reactivos y calibradores, operadores diferentes, mantenimiento de rutina, etc., es decir, reproducibilidad intermedia. La mayoría de los procedimientos de medición son lo suficientemente sólidos como para que la imprecisión generalmente cambie poco entre lotes de reactivos, por lo que la imprecisión se puede calcular combinando sus desviaciones estándar (ver a continuación cómo combinar desviaciones estándar). La obtención de datos adecuados (&gt;100 resultados) lleva más tiempo para procedimientos de medición que se realizan con poca frecuencia, en cuyo caso son adecuados los cálculos provisionales, </w:t>
      </w:r>
      <w:proofErr w:type="gramStart"/>
      <w:r w:rsidRPr="0004102D">
        <w:rPr>
          <w:snapToGrid w:val="0"/>
          <w:sz w:val="22"/>
          <w:szCs w:val="22"/>
          <w:lang w:val="es"/>
        </w:rPr>
        <w:t>pero</w:t>
      </w:r>
      <w:proofErr w:type="gramEnd"/>
      <w:r w:rsidRPr="0004102D">
        <w:rPr>
          <w:snapToGrid w:val="0"/>
          <w:sz w:val="22"/>
          <w:szCs w:val="22"/>
          <w:lang w:val="es"/>
        </w:rPr>
        <w:t xml:space="preserve"> en cualquier caso, incluidos los procedimientos nuevos, se requieren un mínimo de 30 resultados de control de calidad antes de que se pueda asumir razonablemente una distribución gaussiana aproximada de puntos de datos. Posteriormente, a medida que se acumulen los resultados del control de calidad, la imprecisión debe recalcularse periódicamente hasta que la desviación estándar sea estable en el mismo número de decimales utilizado para los resultados informados.</w:t>
      </w:r>
    </w:p>
    <w:p w14:paraId="02A1B3D3" w14:textId="76DC0BE3" w:rsidR="00724AE5" w:rsidRPr="0004102D" w:rsidRDefault="00000000" w:rsidP="006D409E">
      <w:pPr>
        <w:pStyle w:val="BodyText"/>
        <w:spacing w:before="280" w:line="254" w:lineRule="auto"/>
        <w:ind w:right="92"/>
        <w:rPr>
          <w:snapToGrid w:val="0"/>
          <w:sz w:val="22"/>
          <w:szCs w:val="22"/>
          <w:lang w:val="es-ES"/>
        </w:rPr>
      </w:pPr>
      <w:r w:rsidRPr="0004102D">
        <w:rPr>
          <w:snapToGrid w:val="0"/>
          <w:sz w:val="22"/>
          <w:szCs w:val="22"/>
          <w:lang w:val="es"/>
        </w:rPr>
        <w:t>En su forma más simple, el valor medio y la desviación estándar se calculan para cada nivel de control de calidad utilizado para un procedimiento de medición determinado durante un tiempo suficiente para abarcar tantos cambios de procedimiento de rutina como sea posible; al menos 30 valores serán adecuados para una estimación inicial de MU. El parámetro de MU es 1 SD (</w:t>
      </w:r>
      <w:r w:rsidRPr="0004102D">
        <w:rPr>
          <w:i/>
          <w:iCs/>
          <w:snapToGrid w:val="0"/>
          <w:sz w:val="22"/>
          <w:szCs w:val="22"/>
          <w:lang w:val="es"/>
        </w:rPr>
        <w:t>incertidumbre de medición estándar</w:t>
      </w:r>
      <w:r w:rsidRPr="0004102D">
        <w:rPr>
          <w:snapToGrid w:val="0"/>
          <w:sz w:val="22"/>
          <w:szCs w:val="22"/>
          <w:lang w:val="es"/>
        </w:rPr>
        <w:t>, símbolo μ). Debido a que la desviación estándar del control de calidad refleja el efecto combinado de todas las incertidumbres individuales que surgen dentro del sistema de medición, la desviación estándar puede considerarse como la incertidumbre estándar combinada (</w:t>
      </w:r>
      <w:proofErr w:type="spellStart"/>
      <w:r w:rsidRPr="0004102D">
        <w:rPr>
          <w:snapToGrid w:val="0"/>
          <w:sz w:val="22"/>
          <w:szCs w:val="22"/>
          <w:lang w:val="es"/>
        </w:rPr>
        <w:t>μ</w:t>
      </w:r>
      <w:r w:rsidRPr="0004102D">
        <w:rPr>
          <w:snapToGrid w:val="0"/>
          <w:sz w:val="22"/>
          <w:szCs w:val="22"/>
          <w:vertAlign w:val="subscript"/>
          <w:lang w:val="es"/>
        </w:rPr>
        <w:t>c</w:t>
      </w:r>
      <w:proofErr w:type="spellEnd"/>
      <w:r w:rsidRPr="0004102D">
        <w:rPr>
          <w:snapToGrid w:val="0"/>
          <w:sz w:val="22"/>
          <w:szCs w:val="22"/>
          <w:lang w:val="es"/>
        </w:rPr>
        <w:t>) para los resultados de los pacientes alrededor del valor medio del control de calidad en particular.</w:t>
      </w:r>
    </w:p>
    <w:p w14:paraId="091F9320" w14:textId="54421F6A" w:rsidR="00724AE5" w:rsidRPr="0004102D" w:rsidRDefault="00000000" w:rsidP="00B505F3">
      <w:pPr>
        <w:pStyle w:val="BodyText"/>
        <w:spacing w:before="300" w:line="254" w:lineRule="auto"/>
        <w:ind w:right="86"/>
        <w:rPr>
          <w:snapToGrid w:val="0"/>
          <w:sz w:val="22"/>
          <w:szCs w:val="22"/>
          <w:lang w:val="es-ES"/>
        </w:rPr>
      </w:pPr>
      <w:r w:rsidRPr="0004102D">
        <w:rPr>
          <w:snapToGrid w:val="0"/>
          <w:sz w:val="22"/>
          <w:szCs w:val="22"/>
          <w:lang w:val="es"/>
        </w:rPr>
        <w:t xml:space="preserve">Dado que ± 1 SD cubre solo un ~68 % de la dispersión de los valores de control de calidad obtenidos, la incertidumbre se amplía aplicando un factor de cobertura (k) para proporcionar una </w:t>
      </w:r>
      <w:r w:rsidRPr="0004102D">
        <w:rPr>
          <w:i/>
          <w:iCs/>
          <w:snapToGrid w:val="0"/>
          <w:sz w:val="22"/>
          <w:szCs w:val="22"/>
          <w:lang w:val="es"/>
        </w:rPr>
        <w:t>incertidumbre de medición expandida</w:t>
      </w:r>
      <w:r w:rsidRPr="0004102D">
        <w:rPr>
          <w:snapToGrid w:val="0"/>
          <w:sz w:val="22"/>
          <w:szCs w:val="22"/>
          <w:lang w:val="es"/>
        </w:rPr>
        <w:t xml:space="preserve"> (símbolo </w:t>
      </w:r>
      <w:r w:rsidRPr="0004102D">
        <w:rPr>
          <w:i/>
          <w:iCs/>
          <w:snapToGrid w:val="0"/>
          <w:sz w:val="22"/>
          <w:szCs w:val="22"/>
          <w:lang w:val="es"/>
        </w:rPr>
        <w:t>U</w:t>
      </w:r>
      <w:r w:rsidRPr="0004102D">
        <w:rPr>
          <w:snapToGrid w:val="0"/>
          <w:sz w:val="22"/>
          <w:szCs w:val="22"/>
          <w:lang w:val="es"/>
        </w:rPr>
        <w:t>). Generalmente, se elige k = 2, para proporcionar una cobertura más útil del 95,5 % de la dispersión de los resultados. Si dicha dispersión también se aplica a los resultados de los pacientes, entonces el resultado podría tener la forma x ± y (confianza del 95 %), donde y = 2 SD (es decir, 2 x </w:t>
      </w:r>
      <w:proofErr w:type="spellStart"/>
      <w:r w:rsidRPr="0004102D">
        <w:rPr>
          <w:snapToGrid w:val="0"/>
          <w:sz w:val="22"/>
          <w:szCs w:val="22"/>
          <w:lang w:val="es"/>
        </w:rPr>
        <w:t>μ</w:t>
      </w:r>
      <w:r w:rsidRPr="0004102D">
        <w:rPr>
          <w:snapToGrid w:val="0"/>
          <w:sz w:val="22"/>
          <w:szCs w:val="22"/>
          <w:vertAlign w:val="subscript"/>
          <w:lang w:val="es"/>
        </w:rPr>
        <w:t>c</w:t>
      </w:r>
      <w:proofErr w:type="spellEnd"/>
      <w:r w:rsidRPr="0004102D">
        <w:rPr>
          <w:snapToGrid w:val="0"/>
          <w:sz w:val="22"/>
          <w:szCs w:val="22"/>
          <w:lang w:val="es"/>
        </w:rPr>
        <w:t> = </w:t>
      </w:r>
      <w:r w:rsidRPr="0004102D">
        <w:rPr>
          <w:i/>
          <w:iCs/>
          <w:snapToGrid w:val="0"/>
          <w:sz w:val="22"/>
          <w:szCs w:val="22"/>
          <w:lang w:val="es"/>
        </w:rPr>
        <w:t>U</w:t>
      </w:r>
      <w:r w:rsidRPr="0004102D">
        <w:rPr>
          <w:snapToGrid w:val="0"/>
          <w:sz w:val="22"/>
          <w:szCs w:val="22"/>
          <w:lang w:val="es"/>
        </w:rPr>
        <w:t>). Si se utilizan varios niveles de control de calidad, se debe calcular la MU para cada uno y evaluar si son suficientemente diferentes para justificar su uso con resultados de pacientes que se encuentren dentro del rango que se considera cubierto por cada nivel de control de calidad.</w:t>
      </w:r>
    </w:p>
    <w:p w14:paraId="2FB403D3" w14:textId="77777777" w:rsidR="00724AE5" w:rsidRPr="0004102D" w:rsidRDefault="00000000" w:rsidP="009B026E">
      <w:pPr>
        <w:pStyle w:val="BodyText"/>
        <w:spacing w:before="300" w:line="254" w:lineRule="auto"/>
        <w:ind w:right="233"/>
        <w:rPr>
          <w:snapToGrid w:val="0"/>
          <w:sz w:val="22"/>
          <w:szCs w:val="22"/>
          <w:lang w:val="es-ES"/>
        </w:rPr>
      </w:pPr>
      <w:r w:rsidRPr="0004102D">
        <w:rPr>
          <w:snapToGrid w:val="0"/>
          <w:sz w:val="22"/>
          <w:szCs w:val="22"/>
          <w:lang w:val="es"/>
        </w:rPr>
        <w:t xml:space="preserve">Tenga en cuenta los siguientes datos de control de calidad para el procedimiento de medición del ruibarbo sérico. Los valores del calibrador son asignados internamente por el fabricante del ensayo y no hay materiales de referencia convencionales o trazables al Sistema Internacional de Medidas (International </w:t>
      </w:r>
      <w:proofErr w:type="spellStart"/>
      <w:r w:rsidRPr="0004102D">
        <w:rPr>
          <w:snapToGrid w:val="0"/>
          <w:sz w:val="22"/>
          <w:szCs w:val="22"/>
          <w:lang w:val="es"/>
        </w:rPr>
        <w:t>System</w:t>
      </w:r>
      <w:proofErr w:type="spellEnd"/>
      <w:r w:rsidRPr="0004102D">
        <w:rPr>
          <w:snapToGrid w:val="0"/>
          <w:sz w:val="22"/>
          <w:szCs w:val="22"/>
          <w:lang w:val="es"/>
        </w:rPr>
        <w:t xml:space="preserve"> </w:t>
      </w:r>
      <w:proofErr w:type="spellStart"/>
      <w:r w:rsidRPr="0004102D">
        <w:rPr>
          <w:snapToGrid w:val="0"/>
          <w:sz w:val="22"/>
          <w:szCs w:val="22"/>
          <w:lang w:val="es"/>
        </w:rPr>
        <w:t>of</w:t>
      </w:r>
      <w:proofErr w:type="spellEnd"/>
      <w:r w:rsidRPr="0004102D">
        <w:rPr>
          <w:snapToGrid w:val="0"/>
          <w:sz w:val="22"/>
          <w:szCs w:val="22"/>
          <w:lang w:val="es"/>
        </w:rPr>
        <w:t xml:space="preserve"> </w:t>
      </w:r>
      <w:proofErr w:type="spellStart"/>
      <w:r w:rsidRPr="0004102D">
        <w:rPr>
          <w:snapToGrid w:val="0"/>
          <w:sz w:val="22"/>
          <w:szCs w:val="22"/>
          <w:lang w:val="es"/>
        </w:rPr>
        <w:t>Units</w:t>
      </w:r>
      <w:proofErr w:type="spellEnd"/>
      <w:r w:rsidRPr="0004102D">
        <w:rPr>
          <w:snapToGrid w:val="0"/>
          <w:sz w:val="22"/>
          <w:szCs w:val="22"/>
          <w:lang w:val="es"/>
        </w:rPr>
        <w:t>, SI) disponibles para permitir la evaluación de sesgo. El rendimiento en comparación con el grupo de pares en un programa de evaluación externa de la calidad mostró un sesgo, ya que la media del grupo fue siempre &lt;0,1 mmol/L. Dada la aplicación clínica de los resultados, el sesgo no se consideró significativo y, por lo tanto, se ignoró para el cálculo de la MU.</w:t>
      </w:r>
    </w:p>
    <w:tbl>
      <w:tblPr>
        <w:tblW w:w="0" w:type="auto"/>
        <w:tblInd w:w="112" w:type="dxa"/>
        <w:tblBorders>
          <w:top w:val="double" w:sz="2" w:space="0" w:color="000000"/>
          <w:left w:val="double" w:sz="2" w:space="0" w:color="000000"/>
          <w:bottom w:val="double" w:sz="2" w:space="0" w:color="000000"/>
          <w:right w:val="double" w:sz="2" w:space="0" w:color="000000"/>
          <w:insideH w:val="double" w:sz="2" w:space="0" w:color="000000"/>
          <w:insideV w:val="double" w:sz="2" w:space="0" w:color="000000"/>
        </w:tblBorders>
        <w:tblLayout w:type="fixed"/>
        <w:tblCellMar>
          <w:left w:w="0" w:type="dxa"/>
          <w:right w:w="0" w:type="dxa"/>
        </w:tblCellMar>
        <w:tblLook w:val="01E0" w:firstRow="1" w:lastRow="1" w:firstColumn="1" w:lastColumn="1" w:noHBand="0" w:noVBand="0"/>
      </w:tblPr>
      <w:tblGrid>
        <w:gridCol w:w="2044"/>
        <w:gridCol w:w="1576"/>
        <w:gridCol w:w="463"/>
        <w:gridCol w:w="2039"/>
        <w:gridCol w:w="2039"/>
        <w:gridCol w:w="1194"/>
        <w:gridCol w:w="844"/>
      </w:tblGrid>
      <w:tr w:rsidR="00724AE5" w:rsidRPr="001D3968" w14:paraId="4543946C" w14:textId="77777777" w:rsidTr="001D3968">
        <w:trPr>
          <w:trHeight w:val="288"/>
        </w:trPr>
        <w:tc>
          <w:tcPr>
            <w:tcW w:w="2044" w:type="dxa"/>
            <w:tcBorders>
              <w:left w:val="single" w:sz="2" w:space="0" w:color="000000"/>
              <w:bottom w:val="nil"/>
            </w:tcBorders>
          </w:tcPr>
          <w:p w14:paraId="2B262C23" w14:textId="77777777" w:rsidR="00724AE5" w:rsidRPr="001D3968" w:rsidRDefault="00000000">
            <w:pPr>
              <w:pStyle w:val="TableParagraph"/>
              <w:spacing w:line="244" w:lineRule="exact"/>
              <w:ind w:left="20"/>
              <w:rPr>
                <w:snapToGrid w:val="0"/>
              </w:rPr>
            </w:pPr>
            <w:r w:rsidRPr="001D3968">
              <w:rPr>
                <w:snapToGrid w:val="0"/>
                <w:lang w:val="es"/>
              </w:rPr>
              <w:lastRenderedPageBreak/>
              <w:t>Control de calidad</w:t>
            </w:r>
          </w:p>
        </w:tc>
        <w:tc>
          <w:tcPr>
            <w:tcW w:w="1576" w:type="dxa"/>
            <w:tcBorders>
              <w:bottom w:val="nil"/>
              <w:right w:val="nil"/>
            </w:tcBorders>
          </w:tcPr>
          <w:p w14:paraId="7278099D" w14:textId="77777777" w:rsidR="00724AE5" w:rsidRPr="001D3968" w:rsidRDefault="00000000">
            <w:pPr>
              <w:pStyle w:val="TableParagraph"/>
              <w:spacing w:line="244" w:lineRule="exact"/>
              <w:ind w:left="0" w:right="57"/>
              <w:jc w:val="center"/>
              <w:rPr>
                <w:snapToGrid w:val="0"/>
              </w:rPr>
            </w:pPr>
            <w:r w:rsidRPr="001D3968">
              <w:rPr>
                <w:snapToGrid w:val="0"/>
                <w:lang w:val="es"/>
              </w:rPr>
              <w:t>27-JUN-2011</w:t>
            </w:r>
          </w:p>
        </w:tc>
        <w:tc>
          <w:tcPr>
            <w:tcW w:w="463" w:type="dxa"/>
            <w:tcBorders>
              <w:left w:val="nil"/>
              <w:bottom w:val="nil"/>
            </w:tcBorders>
          </w:tcPr>
          <w:p w14:paraId="0215B025" w14:textId="77777777" w:rsidR="00724AE5" w:rsidRPr="001D3968" w:rsidRDefault="00000000">
            <w:pPr>
              <w:pStyle w:val="TableParagraph"/>
              <w:spacing w:line="244" w:lineRule="exact"/>
              <w:ind w:left="74"/>
              <w:rPr>
                <w:snapToGrid w:val="0"/>
              </w:rPr>
            </w:pPr>
            <w:r w:rsidRPr="001D3968">
              <w:rPr>
                <w:snapToGrid w:val="0"/>
                <w:lang w:val="es"/>
              </w:rPr>
              <w:t>-</w:t>
            </w:r>
          </w:p>
        </w:tc>
        <w:tc>
          <w:tcPr>
            <w:tcW w:w="2039" w:type="dxa"/>
            <w:tcBorders>
              <w:bottom w:val="nil"/>
            </w:tcBorders>
          </w:tcPr>
          <w:p w14:paraId="15132255" w14:textId="77777777" w:rsidR="00724AE5" w:rsidRPr="001D3968" w:rsidRDefault="00000000">
            <w:pPr>
              <w:pStyle w:val="TableParagraph"/>
              <w:spacing w:line="244" w:lineRule="exact"/>
              <w:ind w:left="0" w:right="130"/>
              <w:jc w:val="center"/>
              <w:rPr>
                <w:snapToGrid w:val="0"/>
              </w:rPr>
            </w:pPr>
            <w:r w:rsidRPr="001D3968">
              <w:rPr>
                <w:snapToGrid w:val="0"/>
                <w:lang w:val="es"/>
              </w:rPr>
              <w:t>Media (mmol/L)</w:t>
            </w:r>
          </w:p>
        </w:tc>
        <w:tc>
          <w:tcPr>
            <w:tcW w:w="2039" w:type="dxa"/>
            <w:vMerge w:val="restart"/>
          </w:tcPr>
          <w:p w14:paraId="1A18D4C6" w14:textId="77777777" w:rsidR="00724AE5" w:rsidRPr="001D3968" w:rsidRDefault="00000000">
            <w:pPr>
              <w:pStyle w:val="TableParagraph"/>
              <w:ind w:left="9"/>
              <w:rPr>
                <w:snapToGrid w:val="0"/>
              </w:rPr>
            </w:pPr>
            <w:r w:rsidRPr="001D3968">
              <w:rPr>
                <w:snapToGrid w:val="0"/>
                <w:lang w:val="es"/>
              </w:rPr>
              <w:t>SD (</w:t>
            </w:r>
            <w:proofErr w:type="spellStart"/>
            <w:r w:rsidRPr="001D3968">
              <w:rPr>
                <w:snapToGrid w:val="0"/>
                <w:lang w:val="es"/>
              </w:rPr>
              <w:t>μ</w:t>
            </w:r>
            <w:r w:rsidRPr="001D3968">
              <w:rPr>
                <w:snapToGrid w:val="0"/>
                <w:vertAlign w:val="subscript"/>
                <w:lang w:val="es"/>
              </w:rPr>
              <w:t>c</w:t>
            </w:r>
            <w:proofErr w:type="spellEnd"/>
            <w:r w:rsidRPr="001D3968">
              <w:rPr>
                <w:snapToGrid w:val="0"/>
                <w:lang w:val="es"/>
              </w:rPr>
              <w:t>)</w:t>
            </w:r>
          </w:p>
        </w:tc>
        <w:tc>
          <w:tcPr>
            <w:tcW w:w="2038" w:type="dxa"/>
            <w:gridSpan w:val="2"/>
            <w:tcBorders>
              <w:bottom w:val="nil"/>
            </w:tcBorders>
          </w:tcPr>
          <w:p w14:paraId="45A77BC2" w14:textId="77777777" w:rsidR="00724AE5" w:rsidRPr="001D3968" w:rsidRDefault="00000000">
            <w:pPr>
              <w:pStyle w:val="TableParagraph"/>
              <w:spacing w:line="244" w:lineRule="exact"/>
              <w:ind w:left="9"/>
              <w:rPr>
                <w:i/>
                <w:snapToGrid w:val="0"/>
              </w:rPr>
            </w:pPr>
            <w:r w:rsidRPr="001D3968">
              <w:rPr>
                <w:snapToGrid w:val="0"/>
                <w:lang w:val="es"/>
              </w:rPr>
              <w:t>2 SD (</w:t>
            </w:r>
            <w:r w:rsidRPr="001D3968">
              <w:rPr>
                <w:i/>
                <w:iCs/>
                <w:snapToGrid w:val="0"/>
                <w:lang w:val="es"/>
              </w:rPr>
              <w:t>U</w:t>
            </w:r>
            <w:r w:rsidRPr="001D3968">
              <w:rPr>
                <w:snapToGrid w:val="0"/>
                <w:lang w:val="es"/>
              </w:rPr>
              <w:t>) (</w:t>
            </w:r>
            <w:r w:rsidRPr="001D3968">
              <w:rPr>
                <w:i/>
                <w:iCs/>
                <w:snapToGrid w:val="0"/>
                <w:lang w:val="es"/>
              </w:rPr>
              <w:t>U</w:t>
            </w:r>
          </w:p>
        </w:tc>
      </w:tr>
      <w:tr w:rsidR="00724AE5" w:rsidRPr="001D3968" w14:paraId="0D47C521" w14:textId="77777777" w:rsidTr="001D3968">
        <w:trPr>
          <w:trHeight w:val="221"/>
        </w:trPr>
        <w:tc>
          <w:tcPr>
            <w:tcW w:w="2044" w:type="dxa"/>
            <w:tcBorders>
              <w:top w:val="nil"/>
              <w:left w:val="single" w:sz="2" w:space="0" w:color="000000"/>
            </w:tcBorders>
          </w:tcPr>
          <w:p w14:paraId="4CA1CFFF" w14:textId="77777777" w:rsidR="00724AE5" w:rsidRPr="001D3968" w:rsidRDefault="00724AE5">
            <w:pPr>
              <w:pStyle w:val="TableParagraph"/>
              <w:spacing w:before="0"/>
              <w:ind w:left="0"/>
              <w:rPr>
                <w:rFonts w:ascii="Times New Roman"/>
                <w:snapToGrid w:val="0"/>
              </w:rPr>
            </w:pPr>
          </w:p>
        </w:tc>
        <w:tc>
          <w:tcPr>
            <w:tcW w:w="1576" w:type="dxa"/>
            <w:tcBorders>
              <w:top w:val="nil"/>
              <w:right w:val="nil"/>
            </w:tcBorders>
          </w:tcPr>
          <w:p w14:paraId="76B53E87" w14:textId="77777777" w:rsidR="00724AE5" w:rsidRPr="001D3968" w:rsidRDefault="00000000">
            <w:pPr>
              <w:pStyle w:val="TableParagraph"/>
              <w:spacing w:before="8" w:line="259" w:lineRule="exact"/>
              <w:ind w:left="0" w:right="57"/>
              <w:jc w:val="center"/>
              <w:rPr>
                <w:snapToGrid w:val="0"/>
              </w:rPr>
            </w:pPr>
            <w:r w:rsidRPr="001D3968">
              <w:rPr>
                <w:snapToGrid w:val="0"/>
                <w:lang w:val="es"/>
              </w:rPr>
              <w:t>14-SEP-2011</w:t>
            </w:r>
          </w:p>
        </w:tc>
        <w:tc>
          <w:tcPr>
            <w:tcW w:w="463" w:type="dxa"/>
            <w:tcBorders>
              <w:top w:val="nil"/>
              <w:left w:val="nil"/>
            </w:tcBorders>
          </w:tcPr>
          <w:p w14:paraId="222CB988" w14:textId="77777777" w:rsidR="00724AE5" w:rsidRPr="001D3968" w:rsidRDefault="00724AE5">
            <w:pPr>
              <w:pStyle w:val="TableParagraph"/>
              <w:spacing w:before="0"/>
              <w:ind w:left="0"/>
              <w:rPr>
                <w:rFonts w:ascii="Times New Roman"/>
                <w:snapToGrid w:val="0"/>
              </w:rPr>
            </w:pPr>
          </w:p>
        </w:tc>
        <w:tc>
          <w:tcPr>
            <w:tcW w:w="2039" w:type="dxa"/>
            <w:tcBorders>
              <w:top w:val="nil"/>
            </w:tcBorders>
          </w:tcPr>
          <w:p w14:paraId="28D64CE2" w14:textId="77777777" w:rsidR="00724AE5" w:rsidRPr="001D3968" w:rsidRDefault="00724AE5">
            <w:pPr>
              <w:pStyle w:val="TableParagraph"/>
              <w:spacing w:before="0"/>
              <w:ind w:left="0"/>
              <w:rPr>
                <w:rFonts w:ascii="Times New Roman"/>
                <w:snapToGrid w:val="0"/>
              </w:rPr>
            </w:pPr>
          </w:p>
        </w:tc>
        <w:tc>
          <w:tcPr>
            <w:tcW w:w="2039" w:type="dxa"/>
            <w:vMerge/>
            <w:tcBorders>
              <w:top w:val="nil"/>
            </w:tcBorders>
          </w:tcPr>
          <w:p w14:paraId="40502F9A" w14:textId="77777777" w:rsidR="00724AE5" w:rsidRPr="001D3968" w:rsidRDefault="00724AE5">
            <w:pPr>
              <w:rPr>
                <w:snapToGrid w:val="0"/>
              </w:rPr>
            </w:pPr>
          </w:p>
        </w:tc>
        <w:tc>
          <w:tcPr>
            <w:tcW w:w="2038" w:type="dxa"/>
            <w:gridSpan w:val="2"/>
            <w:tcBorders>
              <w:top w:val="nil"/>
            </w:tcBorders>
          </w:tcPr>
          <w:p w14:paraId="5F3EF4F2" w14:textId="77777777" w:rsidR="00724AE5" w:rsidRPr="001D3968" w:rsidRDefault="00000000">
            <w:pPr>
              <w:pStyle w:val="TableParagraph"/>
              <w:spacing w:before="8" w:line="259" w:lineRule="exact"/>
              <w:ind w:left="9"/>
              <w:rPr>
                <w:snapToGrid w:val="0"/>
              </w:rPr>
            </w:pPr>
            <w:r w:rsidRPr="001D3968">
              <w:rPr>
                <w:snapToGrid w:val="0"/>
                <w:lang w:val="es"/>
              </w:rPr>
              <w:t xml:space="preserve">= 2 x </w:t>
            </w:r>
            <w:proofErr w:type="spellStart"/>
            <w:r w:rsidRPr="001D3968">
              <w:rPr>
                <w:snapToGrid w:val="0"/>
                <w:lang w:val="es"/>
              </w:rPr>
              <w:t>μ</w:t>
            </w:r>
            <w:r w:rsidRPr="001D3968">
              <w:rPr>
                <w:snapToGrid w:val="0"/>
                <w:vertAlign w:val="subscript"/>
                <w:lang w:val="es"/>
              </w:rPr>
              <w:t>c</w:t>
            </w:r>
            <w:proofErr w:type="spellEnd"/>
            <w:r w:rsidRPr="001D3968">
              <w:rPr>
                <w:snapToGrid w:val="0"/>
                <w:lang w:val="es"/>
              </w:rPr>
              <w:t>)</w:t>
            </w:r>
          </w:p>
        </w:tc>
      </w:tr>
      <w:tr w:rsidR="00724AE5" w:rsidRPr="00286381" w14:paraId="0271C0E0" w14:textId="77777777">
        <w:trPr>
          <w:trHeight w:val="302"/>
        </w:trPr>
        <w:tc>
          <w:tcPr>
            <w:tcW w:w="2044" w:type="dxa"/>
            <w:tcBorders>
              <w:left w:val="single" w:sz="2" w:space="0" w:color="000000"/>
            </w:tcBorders>
          </w:tcPr>
          <w:p w14:paraId="156234F8" w14:textId="77777777" w:rsidR="00724AE5" w:rsidRPr="00286381" w:rsidRDefault="00000000">
            <w:pPr>
              <w:pStyle w:val="TableParagraph"/>
              <w:spacing w:line="259" w:lineRule="exact"/>
              <w:ind w:left="20"/>
              <w:rPr>
                <w:snapToGrid w:val="0"/>
                <w:sz w:val="23"/>
                <w:szCs w:val="23"/>
              </w:rPr>
            </w:pPr>
            <w:r w:rsidRPr="00286381">
              <w:rPr>
                <w:snapToGrid w:val="0"/>
                <w:sz w:val="23"/>
                <w:szCs w:val="23"/>
                <w:lang w:val="es"/>
              </w:rPr>
              <w:t>nivel 1</w:t>
            </w:r>
          </w:p>
        </w:tc>
        <w:tc>
          <w:tcPr>
            <w:tcW w:w="2039" w:type="dxa"/>
            <w:gridSpan w:val="2"/>
          </w:tcPr>
          <w:p w14:paraId="7396C77C" w14:textId="77777777" w:rsidR="00724AE5" w:rsidRPr="00286381" w:rsidRDefault="00000000">
            <w:pPr>
              <w:pStyle w:val="TableParagraph"/>
              <w:spacing w:line="259" w:lineRule="exact"/>
              <w:ind w:left="0" w:right="3"/>
              <w:jc w:val="center"/>
              <w:rPr>
                <w:snapToGrid w:val="0"/>
                <w:sz w:val="23"/>
                <w:szCs w:val="23"/>
              </w:rPr>
            </w:pPr>
            <w:r w:rsidRPr="00286381">
              <w:rPr>
                <w:snapToGrid w:val="0"/>
                <w:sz w:val="23"/>
                <w:szCs w:val="23"/>
                <w:lang w:val="es"/>
              </w:rPr>
              <w:t>n=86</w:t>
            </w:r>
          </w:p>
        </w:tc>
        <w:tc>
          <w:tcPr>
            <w:tcW w:w="2039" w:type="dxa"/>
          </w:tcPr>
          <w:p w14:paraId="7A6FE57E" w14:textId="77777777" w:rsidR="00724AE5" w:rsidRPr="00286381" w:rsidRDefault="00000000">
            <w:pPr>
              <w:pStyle w:val="TableParagraph"/>
              <w:spacing w:line="259" w:lineRule="exact"/>
              <w:ind w:left="0" w:right="3"/>
              <w:jc w:val="center"/>
              <w:rPr>
                <w:snapToGrid w:val="0"/>
                <w:sz w:val="23"/>
                <w:szCs w:val="23"/>
              </w:rPr>
            </w:pPr>
            <w:r w:rsidRPr="00286381">
              <w:rPr>
                <w:snapToGrid w:val="0"/>
                <w:sz w:val="23"/>
                <w:szCs w:val="23"/>
                <w:lang w:val="es"/>
              </w:rPr>
              <w:t>4,9</w:t>
            </w:r>
          </w:p>
        </w:tc>
        <w:tc>
          <w:tcPr>
            <w:tcW w:w="2039" w:type="dxa"/>
          </w:tcPr>
          <w:p w14:paraId="31C3FFF2" w14:textId="77777777" w:rsidR="00724AE5" w:rsidRPr="00286381" w:rsidRDefault="00000000">
            <w:pPr>
              <w:pStyle w:val="TableParagraph"/>
              <w:spacing w:line="259" w:lineRule="exact"/>
              <w:ind w:left="0" w:right="3"/>
              <w:jc w:val="center"/>
              <w:rPr>
                <w:snapToGrid w:val="0"/>
                <w:sz w:val="23"/>
                <w:szCs w:val="23"/>
              </w:rPr>
            </w:pPr>
            <w:r w:rsidRPr="00286381">
              <w:rPr>
                <w:snapToGrid w:val="0"/>
                <w:sz w:val="23"/>
                <w:szCs w:val="23"/>
                <w:lang w:val="es"/>
              </w:rPr>
              <w:t>0,12</w:t>
            </w:r>
          </w:p>
        </w:tc>
        <w:tc>
          <w:tcPr>
            <w:tcW w:w="1194" w:type="dxa"/>
            <w:tcBorders>
              <w:right w:val="nil"/>
            </w:tcBorders>
          </w:tcPr>
          <w:p w14:paraId="473EB36A" w14:textId="77777777" w:rsidR="00724AE5" w:rsidRPr="00286381" w:rsidRDefault="00000000">
            <w:pPr>
              <w:pStyle w:val="TableParagraph"/>
              <w:spacing w:line="259" w:lineRule="exact"/>
              <w:ind w:left="289"/>
              <w:rPr>
                <w:snapToGrid w:val="0"/>
                <w:sz w:val="23"/>
                <w:szCs w:val="23"/>
              </w:rPr>
            </w:pPr>
            <w:r w:rsidRPr="00286381">
              <w:rPr>
                <w:snapToGrid w:val="0"/>
                <w:sz w:val="23"/>
                <w:szCs w:val="23"/>
                <w:lang w:val="es"/>
              </w:rPr>
              <w:t>0,24 =</w:t>
            </w:r>
          </w:p>
        </w:tc>
        <w:tc>
          <w:tcPr>
            <w:tcW w:w="844" w:type="dxa"/>
            <w:tcBorders>
              <w:left w:val="nil"/>
            </w:tcBorders>
          </w:tcPr>
          <w:p w14:paraId="4B75D4CE" w14:textId="77777777" w:rsidR="00724AE5" w:rsidRPr="00286381" w:rsidRDefault="00000000">
            <w:pPr>
              <w:pStyle w:val="TableParagraph"/>
              <w:spacing w:line="259" w:lineRule="exact"/>
              <w:ind w:left="110"/>
              <w:rPr>
                <w:snapToGrid w:val="0"/>
                <w:sz w:val="23"/>
                <w:szCs w:val="23"/>
              </w:rPr>
            </w:pPr>
            <w:r w:rsidRPr="00286381">
              <w:rPr>
                <w:snapToGrid w:val="0"/>
                <w:sz w:val="23"/>
                <w:szCs w:val="23"/>
                <w:lang w:val="es"/>
              </w:rPr>
              <w:t>0,2</w:t>
            </w:r>
          </w:p>
        </w:tc>
      </w:tr>
      <w:tr w:rsidR="00724AE5" w:rsidRPr="00286381" w14:paraId="13A03485" w14:textId="77777777">
        <w:trPr>
          <w:trHeight w:val="302"/>
        </w:trPr>
        <w:tc>
          <w:tcPr>
            <w:tcW w:w="2044" w:type="dxa"/>
            <w:tcBorders>
              <w:left w:val="single" w:sz="2" w:space="0" w:color="000000"/>
            </w:tcBorders>
          </w:tcPr>
          <w:p w14:paraId="61010347" w14:textId="77777777" w:rsidR="00724AE5" w:rsidRPr="00286381" w:rsidRDefault="00000000">
            <w:pPr>
              <w:pStyle w:val="TableParagraph"/>
              <w:spacing w:line="259" w:lineRule="exact"/>
              <w:ind w:left="20"/>
              <w:rPr>
                <w:snapToGrid w:val="0"/>
                <w:sz w:val="23"/>
                <w:szCs w:val="23"/>
              </w:rPr>
            </w:pPr>
            <w:r w:rsidRPr="00286381">
              <w:rPr>
                <w:snapToGrid w:val="0"/>
                <w:sz w:val="23"/>
                <w:szCs w:val="23"/>
                <w:lang w:val="es"/>
              </w:rPr>
              <w:t>nivel 2</w:t>
            </w:r>
          </w:p>
        </w:tc>
        <w:tc>
          <w:tcPr>
            <w:tcW w:w="2039" w:type="dxa"/>
            <w:gridSpan w:val="2"/>
          </w:tcPr>
          <w:p w14:paraId="7EE79395" w14:textId="77777777" w:rsidR="00724AE5" w:rsidRPr="00286381" w:rsidRDefault="00000000">
            <w:pPr>
              <w:pStyle w:val="TableParagraph"/>
              <w:spacing w:line="259" w:lineRule="exact"/>
              <w:ind w:left="0" w:right="3"/>
              <w:jc w:val="center"/>
              <w:rPr>
                <w:snapToGrid w:val="0"/>
                <w:sz w:val="23"/>
                <w:szCs w:val="23"/>
              </w:rPr>
            </w:pPr>
            <w:r w:rsidRPr="00286381">
              <w:rPr>
                <w:snapToGrid w:val="0"/>
                <w:sz w:val="23"/>
                <w:szCs w:val="23"/>
                <w:lang w:val="es"/>
              </w:rPr>
              <w:t>n=86</w:t>
            </w:r>
          </w:p>
        </w:tc>
        <w:tc>
          <w:tcPr>
            <w:tcW w:w="2039" w:type="dxa"/>
          </w:tcPr>
          <w:p w14:paraId="1515B557" w14:textId="77777777" w:rsidR="00724AE5" w:rsidRPr="00286381" w:rsidRDefault="00000000">
            <w:pPr>
              <w:pStyle w:val="TableParagraph"/>
              <w:spacing w:line="259" w:lineRule="exact"/>
              <w:ind w:left="0" w:right="3"/>
              <w:jc w:val="center"/>
              <w:rPr>
                <w:snapToGrid w:val="0"/>
                <w:sz w:val="23"/>
                <w:szCs w:val="23"/>
              </w:rPr>
            </w:pPr>
            <w:r w:rsidRPr="00286381">
              <w:rPr>
                <w:snapToGrid w:val="0"/>
                <w:sz w:val="23"/>
                <w:szCs w:val="23"/>
                <w:lang w:val="es"/>
              </w:rPr>
              <w:t>28,7</w:t>
            </w:r>
          </w:p>
        </w:tc>
        <w:tc>
          <w:tcPr>
            <w:tcW w:w="2039" w:type="dxa"/>
          </w:tcPr>
          <w:p w14:paraId="7CDA87F8" w14:textId="77777777" w:rsidR="00724AE5" w:rsidRPr="00286381" w:rsidRDefault="00000000">
            <w:pPr>
              <w:pStyle w:val="TableParagraph"/>
              <w:spacing w:line="259" w:lineRule="exact"/>
              <w:ind w:left="0" w:right="3"/>
              <w:jc w:val="center"/>
              <w:rPr>
                <w:snapToGrid w:val="0"/>
                <w:sz w:val="23"/>
                <w:szCs w:val="23"/>
              </w:rPr>
            </w:pPr>
            <w:r w:rsidRPr="00286381">
              <w:rPr>
                <w:snapToGrid w:val="0"/>
                <w:sz w:val="23"/>
                <w:szCs w:val="23"/>
                <w:lang w:val="es"/>
              </w:rPr>
              <w:t>0,73</w:t>
            </w:r>
          </w:p>
        </w:tc>
        <w:tc>
          <w:tcPr>
            <w:tcW w:w="1194" w:type="dxa"/>
            <w:tcBorders>
              <w:right w:val="nil"/>
            </w:tcBorders>
          </w:tcPr>
          <w:p w14:paraId="669F2C3A" w14:textId="77777777" w:rsidR="00724AE5" w:rsidRPr="00286381" w:rsidRDefault="00000000">
            <w:pPr>
              <w:pStyle w:val="TableParagraph"/>
              <w:spacing w:line="259" w:lineRule="exact"/>
              <w:ind w:left="256"/>
              <w:jc w:val="center"/>
              <w:rPr>
                <w:snapToGrid w:val="0"/>
                <w:sz w:val="23"/>
                <w:szCs w:val="23"/>
              </w:rPr>
            </w:pPr>
            <w:r w:rsidRPr="00286381">
              <w:rPr>
                <w:snapToGrid w:val="0"/>
                <w:sz w:val="23"/>
                <w:szCs w:val="23"/>
                <w:lang w:val="es"/>
              </w:rPr>
              <w:t>1,46 =</w:t>
            </w:r>
          </w:p>
        </w:tc>
        <w:tc>
          <w:tcPr>
            <w:tcW w:w="844" w:type="dxa"/>
            <w:tcBorders>
              <w:left w:val="nil"/>
            </w:tcBorders>
          </w:tcPr>
          <w:p w14:paraId="0370A615" w14:textId="77777777" w:rsidR="00724AE5" w:rsidRPr="00286381" w:rsidRDefault="00000000">
            <w:pPr>
              <w:pStyle w:val="TableParagraph"/>
              <w:spacing w:line="259" w:lineRule="exact"/>
              <w:ind w:left="38"/>
              <w:rPr>
                <w:snapToGrid w:val="0"/>
                <w:sz w:val="23"/>
                <w:szCs w:val="23"/>
              </w:rPr>
            </w:pPr>
            <w:r w:rsidRPr="00286381">
              <w:rPr>
                <w:snapToGrid w:val="0"/>
                <w:sz w:val="23"/>
                <w:szCs w:val="23"/>
                <w:lang w:val="es"/>
              </w:rPr>
              <w:t>1,5</w:t>
            </w:r>
          </w:p>
        </w:tc>
      </w:tr>
    </w:tbl>
    <w:p w14:paraId="3F7E3B2E" w14:textId="6CE311C9" w:rsidR="00070B74" w:rsidRPr="0077726F" w:rsidRDefault="00070B74" w:rsidP="0077726F">
      <w:pPr>
        <w:pStyle w:val="BodyText"/>
        <w:spacing w:line="192" w:lineRule="auto"/>
        <w:ind w:left="115" w:right="230"/>
        <w:rPr>
          <w:snapToGrid w:val="0"/>
          <w:sz w:val="4"/>
          <w:szCs w:val="4"/>
        </w:rPr>
      </w:pPr>
    </w:p>
    <w:p w14:paraId="040B9156" w14:textId="3DDC177F" w:rsidR="00724AE5" w:rsidRPr="0004102D" w:rsidRDefault="00000000" w:rsidP="0077726F">
      <w:pPr>
        <w:pStyle w:val="BodyText"/>
        <w:ind w:left="115" w:right="230"/>
        <w:rPr>
          <w:snapToGrid w:val="0"/>
          <w:sz w:val="22"/>
          <w:szCs w:val="22"/>
          <w:lang w:val="es-ES"/>
        </w:rPr>
      </w:pPr>
      <w:r w:rsidRPr="0004102D">
        <w:rPr>
          <w:snapToGrid w:val="0"/>
          <w:sz w:val="22"/>
          <w:szCs w:val="22"/>
          <w:lang w:val="es"/>
        </w:rPr>
        <w:t>La imprecisión en condiciones de reproducibilidad intermedia se utiliza para calcular la MU. Dado que los resultados de los pacientes se informan con un decimal, la MU (U) expandida se trata de manera similar, es decir, los resultados de los pacientes en el rango considerado monitoreado por:</w:t>
      </w:r>
    </w:p>
    <w:p w14:paraId="24782B6D" w14:textId="77777777" w:rsidR="00724AE5" w:rsidRPr="0004102D" w:rsidRDefault="00000000" w:rsidP="001D3968">
      <w:pPr>
        <w:pStyle w:val="BodyText"/>
        <w:spacing w:before="280" w:line="254" w:lineRule="auto"/>
        <w:ind w:right="233"/>
        <w:rPr>
          <w:snapToGrid w:val="0"/>
          <w:sz w:val="22"/>
          <w:szCs w:val="22"/>
          <w:lang w:val="es-ES"/>
        </w:rPr>
      </w:pPr>
      <w:r w:rsidRPr="0004102D">
        <w:rPr>
          <w:snapToGrid w:val="0"/>
          <w:sz w:val="22"/>
          <w:szCs w:val="22"/>
          <w:lang w:val="es"/>
        </w:rPr>
        <w:t>Nivel de control de calidad 1: x1 ± 0,2 mmol/L (confianza del 95,5 %); Nivel de control de calidad 2: x2 ± 1,5 mmol/L (confianza del 95,5 %).</w:t>
      </w:r>
    </w:p>
    <w:p w14:paraId="3432C541" w14:textId="77777777" w:rsidR="00724AE5" w:rsidRPr="0004102D" w:rsidRDefault="00000000" w:rsidP="001D3968">
      <w:pPr>
        <w:pStyle w:val="BodyText"/>
        <w:spacing w:before="280" w:line="254" w:lineRule="auto"/>
        <w:ind w:right="233"/>
        <w:rPr>
          <w:snapToGrid w:val="0"/>
          <w:sz w:val="22"/>
          <w:szCs w:val="22"/>
          <w:lang w:val="es-ES"/>
        </w:rPr>
      </w:pPr>
      <w:r w:rsidRPr="0004102D">
        <w:rPr>
          <w:snapToGrid w:val="0"/>
          <w:sz w:val="22"/>
          <w:szCs w:val="22"/>
          <w:lang w:val="es"/>
        </w:rPr>
        <w:t>Por ejemplo, resultado del paciente 1: 6,3 ± 0,2 mmol/L (confianza de ~95 %). Esto significa que el laboratorio tiene una confianza de ~95 % de que el valor verdadero está en el rango de 6,1 a 6,5 mmol/L.</w:t>
      </w:r>
    </w:p>
    <w:p w14:paraId="3E9AA0DB" w14:textId="77777777" w:rsidR="00724AE5" w:rsidRPr="0004102D" w:rsidRDefault="00000000" w:rsidP="001D3968">
      <w:pPr>
        <w:pStyle w:val="BodyText"/>
        <w:spacing w:before="280" w:line="254" w:lineRule="auto"/>
        <w:ind w:right="521"/>
        <w:rPr>
          <w:snapToGrid w:val="0"/>
          <w:sz w:val="22"/>
          <w:szCs w:val="22"/>
          <w:lang w:val="es-ES"/>
        </w:rPr>
      </w:pPr>
      <w:r w:rsidRPr="0004102D">
        <w:rPr>
          <w:snapToGrid w:val="0"/>
          <w:sz w:val="22"/>
          <w:szCs w:val="22"/>
          <w:lang w:val="es"/>
        </w:rPr>
        <w:t>Resultado del paciente 2: 34,6 ± 1,5 mmol/L (confianza de ~95 %). Esto significa que el laboratorio tiene una confianza de ~95 % de que el valor verdadero está en el rango de 33,1 a 36,1 mmol/L.</w:t>
      </w:r>
    </w:p>
    <w:p w14:paraId="72A26DF5" w14:textId="77777777" w:rsidR="00724AE5" w:rsidRPr="0004102D" w:rsidRDefault="00000000" w:rsidP="001D3968">
      <w:pPr>
        <w:pStyle w:val="BodyText"/>
        <w:spacing w:before="280" w:line="254" w:lineRule="auto"/>
        <w:ind w:right="233"/>
        <w:rPr>
          <w:snapToGrid w:val="0"/>
          <w:sz w:val="22"/>
          <w:szCs w:val="22"/>
          <w:lang w:val="es-ES"/>
        </w:rPr>
      </w:pPr>
      <w:r w:rsidRPr="0004102D">
        <w:rPr>
          <w:snapToGrid w:val="0"/>
          <w:sz w:val="22"/>
          <w:szCs w:val="22"/>
          <w:lang w:val="es"/>
        </w:rPr>
        <w:t>La mejor estimación del valor verdadero es siempre el resultado informado, pero esta forma de expresar la MU indica que se podrían haber obtenido otros resultados. Nota: no se menciona el error. La MU se ocupa de la probabilidad de que exista un valor verdadero. Nota: el término "valor verdadero" se relaciona con la referencia utilizada para la calibración y puede ser un valor establecido arbitrariamente, por ejemplo, las Unidades Internacionales de la Organización Mundial de la Salud (OMS).</w:t>
      </w:r>
    </w:p>
    <w:p w14:paraId="17C8670C" w14:textId="77777777" w:rsidR="00724AE5" w:rsidRPr="002435D3" w:rsidRDefault="00000000" w:rsidP="00070B74">
      <w:pPr>
        <w:pStyle w:val="Heading1"/>
        <w:spacing w:before="300"/>
        <w:rPr>
          <w:snapToGrid w:val="0"/>
          <w:sz w:val="27"/>
          <w:szCs w:val="27"/>
          <w:lang w:val="es-ES"/>
        </w:rPr>
      </w:pPr>
      <w:r w:rsidRPr="002435D3">
        <w:rPr>
          <w:snapToGrid w:val="0"/>
          <w:sz w:val="27"/>
          <w:szCs w:val="27"/>
          <w:lang w:val="es"/>
        </w:rPr>
        <w:t>¿Qué sucede si el sesgo se considera significativo?</w:t>
      </w:r>
    </w:p>
    <w:p w14:paraId="7E25F58C" w14:textId="77777777" w:rsidR="00724AE5" w:rsidRPr="0004102D" w:rsidRDefault="00000000" w:rsidP="001D3968">
      <w:pPr>
        <w:pStyle w:val="BodyText"/>
        <w:spacing w:before="240" w:after="280" w:line="254" w:lineRule="auto"/>
        <w:ind w:right="233"/>
        <w:rPr>
          <w:snapToGrid w:val="0"/>
          <w:sz w:val="22"/>
          <w:szCs w:val="22"/>
          <w:lang w:val="es-ES"/>
        </w:rPr>
      </w:pPr>
      <w:r w:rsidRPr="0004102D">
        <w:rPr>
          <w:snapToGrid w:val="0"/>
          <w:sz w:val="22"/>
          <w:szCs w:val="22"/>
          <w:lang w:val="es"/>
        </w:rPr>
        <w:t>Supongamos que los resultados del ensayo de ruibarbo se interpretan clínicamente en relación con valores de decisión definidos por un organismo internacional de expertos, y las interpretaciones incorrectas pueden tener implicaciones médicas perjudiciales. Por lo tanto, el sesgo de medición es importante. Afortunadamente, el fabricante del ensayo asigna valores de calibrador utilizando un material de referencia secundario certificado (materiales de referencia certificados [</w:t>
      </w:r>
      <w:proofErr w:type="spellStart"/>
      <w:r w:rsidRPr="0004102D">
        <w:rPr>
          <w:snapToGrid w:val="0"/>
          <w:sz w:val="22"/>
          <w:szCs w:val="22"/>
          <w:lang w:val="es"/>
        </w:rPr>
        <w:t>Certified</w:t>
      </w:r>
      <w:proofErr w:type="spellEnd"/>
      <w:r w:rsidRPr="0004102D">
        <w:rPr>
          <w:snapToGrid w:val="0"/>
          <w:sz w:val="22"/>
          <w:szCs w:val="22"/>
          <w:lang w:val="es"/>
        </w:rPr>
        <w:t xml:space="preserve"> Reference </w:t>
      </w:r>
      <w:proofErr w:type="spellStart"/>
      <w:r w:rsidRPr="0004102D">
        <w:rPr>
          <w:snapToGrid w:val="0"/>
          <w:sz w:val="22"/>
          <w:szCs w:val="22"/>
          <w:lang w:val="es"/>
        </w:rPr>
        <w:t>Materials</w:t>
      </w:r>
      <w:proofErr w:type="spellEnd"/>
      <w:r w:rsidRPr="0004102D">
        <w:rPr>
          <w:snapToGrid w:val="0"/>
          <w:sz w:val="22"/>
          <w:szCs w:val="22"/>
          <w:lang w:val="es"/>
        </w:rPr>
        <w:t>, CRM]) (compatible con la matriz) que es metrológicamente trazable hasta la unidad SI (mol), y afirma que el calibrador es conmutable con los CRM. El laboratorio compra un vial de CRM y lo mide 10 veces en condiciones de repetibilidad.</w:t>
      </w: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4"/>
        <w:gridCol w:w="1699"/>
        <w:gridCol w:w="1699"/>
        <w:gridCol w:w="1893"/>
        <w:gridCol w:w="1620"/>
        <w:gridCol w:w="1584"/>
      </w:tblGrid>
      <w:tr w:rsidR="00724AE5" w:rsidRPr="004A5FCE" w14:paraId="67672241" w14:textId="77777777" w:rsidTr="004A5FCE">
        <w:trPr>
          <w:trHeight w:val="1172"/>
        </w:trPr>
        <w:tc>
          <w:tcPr>
            <w:tcW w:w="1704" w:type="dxa"/>
            <w:tcBorders>
              <w:bottom w:val="single" w:sz="8" w:space="0" w:color="000000"/>
              <w:right w:val="single" w:sz="8" w:space="0" w:color="000000"/>
            </w:tcBorders>
          </w:tcPr>
          <w:p w14:paraId="5CF91356" w14:textId="77777777" w:rsidR="00724AE5" w:rsidRPr="00286381" w:rsidRDefault="00724AE5">
            <w:pPr>
              <w:pStyle w:val="TableParagraph"/>
              <w:spacing w:before="0"/>
              <w:ind w:left="0"/>
              <w:rPr>
                <w:rFonts w:ascii="Times New Roman"/>
                <w:snapToGrid w:val="0"/>
                <w:sz w:val="21"/>
                <w:szCs w:val="20"/>
                <w:lang w:val="es-ES"/>
              </w:rPr>
            </w:pPr>
          </w:p>
        </w:tc>
        <w:tc>
          <w:tcPr>
            <w:tcW w:w="1699" w:type="dxa"/>
            <w:tcBorders>
              <w:left w:val="single" w:sz="8" w:space="0" w:color="000000"/>
              <w:bottom w:val="single" w:sz="8" w:space="0" w:color="000000"/>
              <w:right w:val="single" w:sz="8" w:space="0" w:color="000000"/>
            </w:tcBorders>
          </w:tcPr>
          <w:p w14:paraId="5A67AEA5" w14:textId="77777777" w:rsidR="00724AE5" w:rsidRPr="004A5FCE" w:rsidRDefault="00000000">
            <w:pPr>
              <w:pStyle w:val="TableParagraph"/>
              <w:spacing w:before="31" w:line="254" w:lineRule="auto"/>
              <w:rPr>
                <w:b/>
                <w:snapToGrid w:val="0"/>
                <w:sz w:val="21"/>
                <w:szCs w:val="20"/>
              </w:rPr>
            </w:pPr>
            <w:r w:rsidRPr="004A5FCE">
              <w:rPr>
                <w:b/>
                <w:bCs/>
                <w:snapToGrid w:val="0"/>
                <w:sz w:val="21"/>
                <w:szCs w:val="20"/>
                <w:lang w:val="es"/>
              </w:rPr>
              <w:t>Valor certificado</w:t>
            </w:r>
          </w:p>
        </w:tc>
        <w:tc>
          <w:tcPr>
            <w:tcW w:w="1699" w:type="dxa"/>
            <w:tcBorders>
              <w:left w:val="single" w:sz="8" w:space="0" w:color="000000"/>
              <w:bottom w:val="single" w:sz="8" w:space="0" w:color="000000"/>
              <w:right w:val="single" w:sz="8" w:space="0" w:color="000000"/>
            </w:tcBorders>
          </w:tcPr>
          <w:p w14:paraId="56A3D911" w14:textId="5CE0D950" w:rsidR="00724AE5" w:rsidRPr="004A5FCE" w:rsidRDefault="00000000">
            <w:pPr>
              <w:pStyle w:val="TableParagraph"/>
              <w:spacing w:before="31"/>
              <w:rPr>
                <w:b/>
                <w:snapToGrid w:val="0"/>
                <w:sz w:val="21"/>
                <w:szCs w:val="20"/>
              </w:rPr>
            </w:pPr>
            <w:r w:rsidRPr="004A5FCE">
              <w:rPr>
                <w:b/>
                <w:bCs/>
                <w:snapToGrid w:val="0"/>
                <w:sz w:val="21"/>
                <w:szCs w:val="20"/>
                <w:lang w:val="es"/>
              </w:rPr>
              <w:t>1 SD (</w:t>
            </w:r>
            <w:r w:rsidRPr="004A5FCE">
              <w:rPr>
                <w:b/>
                <w:bCs/>
                <w:snapToGrid w:val="0"/>
                <w:sz w:val="21"/>
                <w:szCs w:val="20"/>
                <w:vertAlign w:val="subscript"/>
                <w:lang w:val="es"/>
              </w:rPr>
              <w:t>c</w:t>
            </w:r>
            <w:r w:rsidRPr="004A5FCE">
              <w:rPr>
                <w:b/>
                <w:bCs/>
                <w:snapToGrid w:val="0"/>
                <w:sz w:val="21"/>
                <w:szCs w:val="20"/>
                <w:lang w:val="es"/>
              </w:rPr>
              <w:t>)</w:t>
            </w:r>
          </w:p>
        </w:tc>
        <w:tc>
          <w:tcPr>
            <w:tcW w:w="1893" w:type="dxa"/>
            <w:tcBorders>
              <w:left w:val="single" w:sz="8" w:space="0" w:color="000000"/>
              <w:bottom w:val="single" w:sz="8" w:space="0" w:color="000000"/>
              <w:right w:val="single" w:sz="8" w:space="0" w:color="000000"/>
            </w:tcBorders>
          </w:tcPr>
          <w:p w14:paraId="66CB34F2" w14:textId="77777777" w:rsidR="00724AE5" w:rsidRPr="004A5FCE" w:rsidRDefault="00000000">
            <w:pPr>
              <w:pStyle w:val="TableParagraph"/>
              <w:spacing w:line="280" w:lineRule="atLeast"/>
              <w:rPr>
                <w:b/>
                <w:snapToGrid w:val="0"/>
                <w:sz w:val="21"/>
                <w:szCs w:val="20"/>
              </w:rPr>
            </w:pPr>
            <w:r w:rsidRPr="004A5FCE">
              <w:rPr>
                <w:b/>
                <w:bCs/>
                <w:snapToGrid w:val="0"/>
                <w:sz w:val="21"/>
                <w:szCs w:val="20"/>
                <w:lang w:val="es"/>
              </w:rPr>
              <w:t>Estudio de repetibilidad de laboratorio (n=10)</w:t>
            </w:r>
          </w:p>
        </w:tc>
        <w:tc>
          <w:tcPr>
            <w:tcW w:w="1620" w:type="dxa"/>
            <w:tcBorders>
              <w:left w:val="single" w:sz="8" w:space="0" w:color="000000"/>
              <w:bottom w:val="single" w:sz="8" w:space="0" w:color="000000"/>
              <w:right w:val="single" w:sz="8" w:space="0" w:color="000000"/>
            </w:tcBorders>
          </w:tcPr>
          <w:p w14:paraId="1CBB049A" w14:textId="7ACBFFA4" w:rsidR="00724AE5" w:rsidRPr="004A5FCE" w:rsidRDefault="00000000">
            <w:pPr>
              <w:pStyle w:val="TableParagraph"/>
              <w:spacing w:before="31"/>
              <w:rPr>
                <w:b/>
                <w:snapToGrid w:val="0"/>
                <w:sz w:val="21"/>
                <w:szCs w:val="20"/>
              </w:rPr>
            </w:pPr>
            <w:r w:rsidRPr="004A5FCE">
              <w:rPr>
                <w:b/>
                <w:bCs/>
                <w:snapToGrid w:val="0"/>
                <w:sz w:val="21"/>
                <w:szCs w:val="20"/>
                <w:lang w:val="es"/>
              </w:rPr>
              <w:t>1 SD (</w:t>
            </w:r>
            <w:r w:rsidRPr="004A5FCE">
              <w:rPr>
                <w:b/>
                <w:bCs/>
                <w:snapToGrid w:val="0"/>
                <w:sz w:val="21"/>
                <w:szCs w:val="20"/>
                <w:vertAlign w:val="subscript"/>
                <w:lang w:val="es"/>
              </w:rPr>
              <w:t>c</w:t>
            </w:r>
            <w:r w:rsidRPr="004A5FCE">
              <w:rPr>
                <w:b/>
                <w:bCs/>
                <w:snapToGrid w:val="0"/>
                <w:sz w:val="21"/>
                <w:szCs w:val="20"/>
                <w:lang w:val="es"/>
              </w:rPr>
              <w:t>)</w:t>
            </w:r>
          </w:p>
        </w:tc>
        <w:tc>
          <w:tcPr>
            <w:tcW w:w="1584" w:type="dxa"/>
            <w:tcBorders>
              <w:left w:val="single" w:sz="8" w:space="0" w:color="000000"/>
              <w:bottom w:val="single" w:sz="8" w:space="0" w:color="000000"/>
              <w:right w:val="single" w:sz="8" w:space="0" w:color="000000"/>
            </w:tcBorders>
          </w:tcPr>
          <w:p w14:paraId="4DAC55DF" w14:textId="77777777" w:rsidR="00724AE5" w:rsidRPr="004A5FCE" w:rsidRDefault="00000000">
            <w:pPr>
              <w:pStyle w:val="TableParagraph"/>
              <w:spacing w:before="31"/>
              <w:rPr>
                <w:b/>
                <w:snapToGrid w:val="0"/>
                <w:sz w:val="21"/>
                <w:szCs w:val="20"/>
              </w:rPr>
            </w:pPr>
            <w:r w:rsidRPr="004A5FCE">
              <w:rPr>
                <w:b/>
                <w:bCs/>
                <w:snapToGrid w:val="0"/>
                <w:sz w:val="21"/>
                <w:szCs w:val="20"/>
                <w:lang w:val="es"/>
              </w:rPr>
              <w:t>Sesgo</w:t>
            </w:r>
          </w:p>
        </w:tc>
      </w:tr>
      <w:tr w:rsidR="00724AE5" w:rsidRPr="004A5FCE" w14:paraId="12070CB4" w14:textId="77777777" w:rsidTr="004A5FCE">
        <w:trPr>
          <w:trHeight w:val="970"/>
        </w:trPr>
        <w:tc>
          <w:tcPr>
            <w:tcW w:w="1704" w:type="dxa"/>
            <w:tcBorders>
              <w:top w:val="single" w:sz="8" w:space="0" w:color="000000"/>
              <w:right w:val="single" w:sz="8" w:space="0" w:color="000000"/>
            </w:tcBorders>
          </w:tcPr>
          <w:p w14:paraId="7A99F412" w14:textId="77777777" w:rsidR="00724AE5" w:rsidRPr="004A5FCE" w:rsidRDefault="00000000">
            <w:pPr>
              <w:pStyle w:val="TableParagraph"/>
              <w:spacing w:before="21"/>
              <w:ind w:left="25"/>
              <w:rPr>
                <w:snapToGrid w:val="0"/>
                <w:sz w:val="21"/>
                <w:szCs w:val="20"/>
              </w:rPr>
            </w:pPr>
            <w:r w:rsidRPr="004A5FCE">
              <w:rPr>
                <w:snapToGrid w:val="0"/>
                <w:sz w:val="21"/>
                <w:szCs w:val="20"/>
                <w:lang w:val="es"/>
              </w:rPr>
              <w:t>CRM</w:t>
            </w:r>
          </w:p>
        </w:tc>
        <w:tc>
          <w:tcPr>
            <w:tcW w:w="1699" w:type="dxa"/>
            <w:tcBorders>
              <w:top w:val="single" w:sz="8" w:space="0" w:color="000000"/>
              <w:left w:val="single" w:sz="8" w:space="0" w:color="000000"/>
              <w:right w:val="single" w:sz="8" w:space="0" w:color="000000"/>
            </w:tcBorders>
          </w:tcPr>
          <w:p w14:paraId="65DF69E8" w14:textId="2ADE41CA" w:rsidR="00724AE5" w:rsidRPr="004A5FCE" w:rsidRDefault="00000000" w:rsidP="0077726F">
            <w:pPr>
              <w:pStyle w:val="TableParagraph"/>
              <w:spacing w:before="21"/>
              <w:rPr>
                <w:snapToGrid w:val="0"/>
                <w:sz w:val="21"/>
                <w:szCs w:val="20"/>
              </w:rPr>
            </w:pPr>
            <w:r w:rsidRPr="004A5FCE">
              <w:rPr>
                <w:snapToGrid w:val="0"/>
                <w:sz w:val="21"/>
                <w:szCs w:val="20"/>
                <w:lang w:val="es"/>
              </w:rPr>
              <w:t>3,87 ± 0,028 mmol/L (IC del 95,5 %)</w:t>
            </w:r>
          </w:p>
        </w:tc>
        <w:tc>
          <w:tcPr>
            <w:tcW w:w="1699" w:type="dxa"/>
            <w:tcBorders>
              <w:top w:val="single" w:sz="8" w:space="0" w:color="000000"/>
              <w:left w:val="single" w:sz="8" w:space="0" w:color="000000"/>
              <w:right w:val="single" w:sz="8" w:space="0" w:color="000000"/>
            </w:tcBorders>
          </w:tcPr>
          <w:p w14:paraId="53978D37" w14:textId="07698812" w:rsidR="00724AE5" w:rsidRPr="004A5FCE" w:rsidRDefault="00000000" w:rsidP="0077726F">
            <w:pPr>
              <w:pStyle w:val="TableParagraph"/>
              <w:spacing w:before="21"/>
              <w:rPr>
                <w:snapToGrid w:val="0"/>
                <w:sz w:val="21"/>
                <w:szCs w:val="20"/>
              </w:rPr>
            </w:pPr>
            <w:r w:rsidRPr="004A5FCE">
              <w:rPr>
                <w:snapToGrid w:val="0"/>
                <w:sz w:val="21"/>
                <w:szCs w:val="20"/>
                <w:lang w:val="es"/>
              </w:rPr>
              <w:t>0,014 mmol/L</w:t>
            </w:r>
          </w:p>
        </w:tc>
        <w:tc>
          <w:tcPr>
            <w:tcW w:w="1893" w:type="dxa"/>
            <w:tcBorders>
              <w:top w:val="single" w:sz="8" w:space="0" w:color="000000"/>
              <w:left w:val="single" w:sz="8" w:space="0" w:color="000000"/>
              <w:right w:val="single" w:sz="8" w:space="0" w:color="000000"/>
            </w:tcBorders>
          </w:tcPr>
          <w:p w14:paraId="7811498C" w14:textId="77777777" w:rsidR="00724AE5" w:rsidRPr="004A5FCE" w:rsidRDefault="00000000">
            <w:pPr>
              <w:pStyle w:val="TableParagraph"/>
              <w:spacing w:before="21"/>
              <w:rPr>
                <w:snapToGrid w:val="0"/>
                <w:sz w:val="21"/>
                <w:szCs w:val="20"/>
              </w:rPr>
            </w:pPr>
            <w:r w:rsidRPr="004A5FCE">
              <w:rPr>
                <w:snapToGrid w:val="0"/>
                <w:sz w:val="21"/>
                <w:szCs w:val="20"/>
                <w:lang w:val="es"/>
              </w:rPr>
              <w:t>Media = 3,97</w:t>
            </w:r>
          </w:p>
          <w:p w14:paraId="0217EC71" w14:textId="489258B3" w:rsidR="00724AE5" w:rsidRPr="004A5FCE" w:rsidRDefault="00000000" w:rsidP="0077726F">
            <w:pPr>
              <w:pStyle w:val="TableParagraph"/>
              <w:spacing w:before="16"/>
              <w:rPr>
                <w:snapToGrid w:val="0"/>
                <w:sz w:val="21"/>
                <w:szCs w:val="20"/>
              </w:rPr>
            </w:pPr>
            <w:r w:rsidRPr="004A5FCE">
              <w:rPr>
                <w:snapToGrid w:val="0"/>
                <w:sz w:val="21"/>
                <w:szCs w:val="20"/>
                <w:lang w:val="es"/>
              </w:rPr>
              <w:t>± 0,12 mmol/L (IC del 95,5 %)</w:t>
            </w:r>
          </w:p>
        </w:tc>
        <w:tc>
          <w:tcPr>
            <w:tcW w:w="1620" w:type="dxa"/>
            <w:tcBorders>
              <w:top w:val="single" w:sz="8" w:space="0" w:color="000000"/>
              <w:left w:val="single" w:sz="8" w:space="0" w:color="000000"/>
              <w:right w:val="single" w:sz="8" w:space="0" w:color="000000"/>
            </w:tcBorders>
          </w:tcPr>
          <w:p w14:paraId="6AD65BE7" w14:textId="77777777" w:rsidR="00724AE5" w:rsidRPr="004A5FCE" w:rsidRDefault="00000000">
            <w:pPr>
              <w:pStyle w:val="TableParagraph"/>
              <w:spacing w:before="21"/>
              <w:rPr>
                <w:snapToGrid w:val="0"/>
                <w:sz w:val="21"/>
                <w:szCs w:val="20"/>
              </w:rPr>
            </w:pPr>
            <w:r w:rsidRPr="004A5FCE">
              <w:rPr>
                <w:snapToGrid w:val="0"/>
                <w:sz w:val="21"/>
                <w:szCs w:val="20"/>
                <w:lang w:val="es"/>
              </w:rPr>
              <w:t>0,06 mmol/L</w:t>
            </w:r>
          </w:p>
        </w:tc>
        <w:tc>
          <w:tcPr>
            <w:tcW w:w="1584" w:type="dxa"/>
            <w:tcBorders>
              <w:top w:val="single" w:sz="8" w:space="0" w:color="000000"/>
              <w:left w:val="single" w:sz="8" w:space="0" w:color="000000"/>
              <w:right w:val="single" w:sz="8" w:space="0" w:color="000000"/>
            </w:tcBorders>
          </w:tcPr>
          <w:p w14:paraId="3C90973E" w14:textId="77777777" w:rsidR="00724AE5" w:rsidRPr="004A5FCE" w:rsidRDefault="00000000">
            <w:pPr>
              <w:pStyle w:val="TableParagraph"/>
              <w:spacing w:before="21"/>
              <w:rPr>
                <w:snapToGrid w:val="0"/>
                <w:sz w:val="21"/>
                <w:szCs w:val="20"/>
              </w:rPr>
            </w:pPr>
            <w:r w:rsidRPr="004A5FCE">
              <w:rPr>
                <w:snapToGrid w:val="0"/>
                <w:sz w:val="21"/>
                <w:szCs w:val="20"/>
                <w:lang w:val="es"/>
              </w:rPr>
              <w:t>0,10 mmol/L</w:t>
            </w:r>
          </w:p>
        </w:tc>
      </w:tr>
    </w:tbl>
    <w:p w14:paraId="46DF6917" w14:textId="77777777" w:rsidR="0061054E" w:rsidRDefault="0061054E">
      <w:pPr>
        <w:rPr>
          <w:snapToGrid w:val="0"/>
          <w:sz w:val="24"/>
        </w:rPr>
      </w:pPr>
    </w:p>
    <w:p w14:paraId="4887A482" w14:textId="5C0A1CB3" w:rsidR="00724AE5" w:rsidRPr="0004102D" w:rsidRDefault="00000000" w:rsidP="00C136E3">
      <w:pPr>
        <w:pStyle w:val="BodyText"/>
        <w:spacing w:before="89" w:line="254" w:lineRule="auto"/>
        <w:ind w:right="92"/>
        <w:rPr>
          <w:snapToGrid w:val="0"/>
          <w:sz w:val="22"/>
          <w:szCs w:val="22"/>
          <w:lang w:val="es-ES"/>
        </w:rPr>
      </w:pPr>
      <w:r w:rsidRPr="0004102D">
        <w:rPr>
          <w:snapToGrid w:val="0"/>
          <w:sz w:val="22"/>
          <w:szCs w:val="22"/>
          <w:lang w:val="es"/>
        </w:rPr>
        <w:lastRenderedPageBreak/>
        <w:t>El sesgo positivo de 0,1 mmol/L se considera significativo y aplicable en todo el rango de medición, por lo que el ensayo se recalibra a ese valor. Necesitamos calcular la incertidumbre del valor de 0,1 mmol/L. Dichos cálculos utilizan 1 SD (</w:t>
      </w:r>
      <w:proofErr w:type="spellStart"/>
      <w:r w:rsidRPr="0004102D">
        <w:rPr>
          <w:snapToGrid w:val="0"/>
          <w:sz w:val="22"/>
          <w:szCs w:val="22"/>
          <w:lang w:val="es"/>
        </w:rPr>
        <w:t>μ</w:t>
      </w:r>
      <w:r w:rsidRPr="0004102D">
        <w:rPr>
          <w:snapToGrid w:val="0"/>
          <w:sz w:val="22"/>
          <w:szCs w:val="22"/>
          <w:vertAlign w:val="subscript"/>
          <w:lang w:val="es"/>
        </w:rPr>
        <w:t>c</w:t>
      </w:r>
      <w:proofErr w:type="spellEnd"/>
      <w:r w:rsidRPr="0004102D">
        <w:rPr>
          <w:snapToGrid w:val="0"/>
          <w:sz w:val="22"/>
          <w:szCs w:val="22"/>
          <w:lang w:val="es"/>
        </w:rPr>
        <w:t>), no 2 SD (</w:t>
      </w:r>
      <w:r w:rsidRPr="0004102D">
        <w:rPr>
          <w:i/>
          <w:iCs/>
          <w:snapToGrid w:val="0"/>
          <w:sz w:val="22"/>
          <w:szCs w:val="22"/>
          <w:lang w:val="es"/>
        </w:rPr>
        <w:t>U</w:t>
      </w:r>
      <w:r w:rsidRPr="0004102D">
        <w:rPr>
          <w:snapToGrid w:val="0"/>
          <w:sz w:val="22"/>
          <w:szCs w:val="22"/>
          <w:lang w:val="es"/>
        </w:rPr>
        <w:t>) por lo que la incertidumbre estándar de los CRM es 0,014 mmol/L. La incertidumbre del valor medio obtenido por el laboratorio es el error estándar de la media de las diez mediciones, es decir, 0,06/√10 = 0,019 mmol/L. Ahora combinamos las incertidumbres de los CRM y los valores medios del laboratorio para obtener la incertidumbre estándar combinada del valor de sesgo de 0,1 mmol/L. Debido a que las desviaciones estándar no se pueden sumar, se deben convertir en varianzas (SD</w:t>
      </w:r>
      <w:r w:rsidRPr="0004102D">
        <w:rPr>
          <w:snapToGrid w:val="0"/>
          <w:sz w:val="22"/>
          <w:szCs w:val="22"/>
          <w:vertAlign w:val="superscript"/>
          <w:lang w:val="es"/>
        </w:rPr>
        <w:t>2</w:t>
      </w:r>
      <w:r w:rsidRPr="0004102D">
        <w:rPr>
          <w:snapToGrid w:val="0"/>
          <w:sz w:val="22"/>
          <w:szCs w:val="22"/>
          <w:lang w:val="es"/>
        </w:rPr>
        <w:t xml:space="preserve">), que sí se pueden sumar. La varianza combinada se convierte luego nuevamente en una desviación estándar combinada tomando la raíz cuadrada, por ejemplo, la incertidumbre estándar combinada del valor de sesgo </w:t>
      </w:r>
      <w:proofErr w:type="spellStart"/>
      <w:r w:rsidRPr="0004102D">
        <w:rPr>
          <w:snapToGrid w:val="0"/>
          <w:sz w:val="22"/>
          <w:szCs w:val="22"/>
          <w:lang w:val="es"/>
        </w:rPr>
        <w:t>U</w:t>
      </w:r>
      <w:r w:rsidRPr="0004102D">
        <w:rPr>
          <w:snapToGrid w:val="0"/>
          <w:sz w:val="22"/>
          <w:szCs w:val="22"/>
          <w:vertAlign w:val="subscript"/>
          <w:lang w:val="es"/>
        </w:rPr>
        <w:t>Sesgo</w:t>
      </w:r>
      <w:proofErr w:type="spellEnd"/>
      <w:r w:rsidRPr="0004102D">
        <w:rPr>
          <w:snapToGrid w:val="0"/>
          <w:sz w:val="22"/>
          <w:szCs w:val="22"/>
          <w:lang w:val="es"/>
        </w:rPr>
        <w:t> = √(0,0142 + 0,0192) = 0,0236 mmol/L.</w:t>
      </w:r>
    </w:p>
    <w:p w14:paraId="36AF2F73" w14:textId="77777777" w:rsidR="00724AE5" w:rsidRPr="0004102D" w:rsidRDefault="00000000" w:rsidP="001D3968">
      <w:pPr>
        <w:pStyle w:val="BodyText"/>
        <w:spacing w:before="280" w:line="254" w:lineRule="auto"/>
        <w:ind w:right="234"/>
        <w:rPr>
          <w:snapToGrid w:val="0"/>
          <w:sz w:val="22"/>
          <w:szCs w:val="22"/>
          <w:lang w:val="es-ES"/>
        </w:rPr>
      </w:pPr>
      <w:r w:rsidRPr="0004102D">
        <w:rPr>
          <w:snapToGrid w:val="0"/>
          <w:sz w:val="22"/>
          <w:szCs w:val="22"/>
          <w:lang w:val="es"/>
        </w:rPr>
        <w:t>La incertidumbre del valor del sesgo se debe comparar entonces con la imprecisión del control de calidad de largo plazo, por ejemplo, 0,0236 es ~11 % de 0,22 mmol/L, y se considera lo suficientemente grande como para incluirse en el cálculo de la MU total de los resultados producidos por el procedimiento del ruibarbo. La incertidumbre del sesgo y la imprecisión del control de calidad se combinan de la misma manera que lo anterior.</w:t>
      </w:r>
    </w:p>
    <w:p w14:paraId="212B39D0" w14:textId="77777777" w:rsidR="001D3968" w:rsidRDefault="00000000" w:rsidP="001D3968">
      <w:pPr>
        <w:pStyle w:val="BodyText"/>
        <w:spacing w:before="280"/>
        <w:ind w:left="115"/>
        <w:rPr>
          <w:snapToGrid w:val="0"/>
          <w:sz w:val="22"/>
          <w:szCs w:val="22"/>
          <w:lang w:val="es"/>
        </w:rPr>
      </w:pPr>
      <w:r w:rsidRPr="0004102D">
        <w:rPr>
          <w:snapToGrid w:val="0"/>
          <w:sz w:val="22"/>
          <w:szCs w:val="22"/>
          <w:lang w:val="es"/>
        </w:rPr>
        <w:t xml:space="preserve">Para valores cercanos al nivel de control de calidad 1: </w:t>
      </w:r>
      <w:proofErr w:type="spellStart"/>
      <w:r w:rsidRPr="0004102D">
        <w:rPr>
          <w:snapToGrid w:val="0"/>
          <w:sz w:val="22"/>
          <w:szCs w:val="22"/>
          <w:lang w:val="es"/>
        </w:rPr>
        <w:t>μ</w:t>
      </w:r>
      <w:r w:rsidRPr="0004102D">
        <w:rPr>
          <w:snapToGrid w:val="0"/>
          <w:sz w:val="22"/>
          <w:szCs w:val="22"/>
          <w:vertAlign w:val="subscript"/>
          <w:lang w:val="es"/>
        </w:rPr>
        <w:t>c</w:t>
      </w:r>
      <w:proofErr w:type="spellEnd"/>
      <w:r w:rsidRPr="0004102D">
        <w:rPr>
          <w:snapToGrid w:val="0"/>
          <w:sz w:val="22"/>
          <w:szCs w:val="22"/>
          <w:lang w:val="es"/>
        </w:rPr>
        <w:t> = √(0,02362 + 0,122) = 0,1223 mmol/L</w:t>
      </w:r>
    </w:p>
    <w:p w14:paraId="41B70F59" w14:textId="05C99379" w:rsidR="00724AE5" w:rsidRPr="0004102D" w:rsidRDefault="00000000" w:rsidP="001D3968">
      <w:pPr>
        <w:pStyle w:val="BodyText"/>
        <w:spacing w:before="280" w:line="508" w:lineRule="auto"/>
        <w:ind w:right="233"/>
        <w:rPr>
          <w:snapToGrid w:val="0"/>
          <w:sz w:val="22"/>
          <w:szCs w:val="22"/>
          <w:lang w:val="es-ES"/>
        </w:rPr>
      </w:pPr>
      <w:r w:rsidRPr="0004102D">
        <w:rPr>
          <w:snapToGrid w:val="0"/>
          <w:sz w:val="22"/>
          <w:szCs w:val="22"/>
          <w:lang w:val="es"/>
        </w:rPr>
        <w:t xml:space="preserve">Nivel 2: </w:t>
      </w:r>
      <w:proofErr w:type="spellStart"/>
      <w:r w:rsidRPr="0004102D">
        <w:rPr>
          <w:snapToGrid w:val="0"/>
          <w:sz w:val="22"/>
          <w:szCs w:val="22"/>
          <w:lang w:val="es"/>
        </w:rPr>
        <w:t>μ</w:t>
      </w:r>
      <w:r w:rsidRPr="0004102D">
        <w:rPr>
          <w:snapToGrid w:val="0"/>
          <w:sz w:val="22"/>
          <w:szCs w:val="22"/>
          <w:vertAlign w:val="subscript"/>
          <w:lang w:val="es"/>
        </w:rPr>
        <w:t>c</w:t>
      </w:r>
      <w:proofErr w:type="spellEnd"/>
      <w:r w:rsidRPr="0004102D">
        <w:rPr>
          <w:snapToGrid w:val="0"/>
          <w:sz w:val="22"/>
          <w:szCs w:val="22"/>
          <w:lang w:val="es"/>
        </w:rPr>
        <w:t> = √(0,02362 + 0,732) = 0,730 mmol/L</w:t>
      </w:r>
    </w:p>
    <w:p w14:paraId="45C12973" w14:textId="32EB533C" w:rsidR="00724AE5" w:rsidRPr="0004102D" w:rsidRDefault="00000000" w:rsidP="0077726F">
      <w:pPr>
        <w:pStyle w:val="BodyText"/>
        <w:spacing w:line="271" w:lineRule="exact"/>
        <w:rPr>
          <w:snapToGrid w:val="0"/>
          <w:sz w:val="22"/>
          <w:szCs w:val="22"/>
          <w:lang w:val="es-ES"/>
        </w:rPr>
      </w:pPr>
      <w:r w:rsidRPr="0004102D">
        <w:rPr>
          <w:snapToGrid w:val="0"/>
          <w:sz w:val="22"/>
          <w:szCs w:val="22"/>
          <w:lang w:val="es"/>
        </w:rPr>
        <w:t>La incertidumbre estándar expandida (</w:t>
      </w:r>
      <w:r w:rsidRPr="0004102D">
        <w:rPr>
          <w:i/>
          <w:iCs/>
          <w:snapToGrid w:val="0"/>
          <w:sz w:val="22"/>
          <w:szCs w:val="22"/>
          <w:lang w:val="es"/>
        </w:rPr>
        <w:t>U</w:t>
      </w:r>
      <w:r w:rsidRPr="0004102D">
        <w:rPr>
          <w:snapToGrid w:val="0"/>
          <w:sz w:val="22"/>
          <w:szCs w:val="22"/>
          <w:lang w:val="es"/>
        </w:rPr>
        <w:t>) para el nivel de control de calidad 1 es 0,122 x 2 = 0,244 mmol/L (redondeada a 0,2 mmol/L); y para el nivel de control de calidad 2: 0,73 x 2 = 1,46 mmol/L (redondeado a 1,5 mmol/L).</w:t>
      </w:r>
    </w:p>
    <w:p w14:paraId="3A5B0487" w14:textId="547C7FB6" w:rsidR="00724AE5" w:rsidRPr="0004102D" w:rsidRDefault="00000000" w:rsidP="001D3968">
      <w:pPr>
        <w:pStyle w:val="BodyText"/>
        <w:spacing w:before="320"/>
        <w:rPr>
          <w:snapToGrid w:val="0"/>
          <w:sz w:val="22"/>
          <w:szCs w:val="22"/>
          <w:lang w:val="es-ES"/>
        </w:rPr>
      </w:pPr>
      <w:r w:rsidRPr="0004102D">
        <w:rPr>
          <w:snapToGrid w:val="0"/>
          <w:sz w:val="22"/>
          <w:szCs w:val="22"/>
          <w:lang w:val="es"/>
        </w:rPr>
        <w:t>Resultados de los pacientes en el rango considerado monitoreado por el nivel de control de calidad 1: x ± 0,2 mmol/L (95,5 % de confianza); Nivel de control de calidad 2: x ± 1,5 mmol/L (confianza del 95,5 %). Nota: Los valores de MU se redondean al mismo número de decimales que los utilizados para informar los resultados.</w:t>
      </w:r>
    </w:p>
    <w:p w14:paraId="5F83AD0A" w14:textId="77777777" w:rsidR="00724AE5" w:rsidRPr="0004102D" w:rsidRDefault="00000000" w:rsidP="001D3968">
      <w:pPr>
        <w:pStyle w:val="BodyText"/>
        <w:spacing w:before="280" w:line="254" w:lineRule="auto"/>
        <w:ind w:right="521"/>
        <w:rPr>
          <w:snapToGrid w:val="0"/>
          <w:sz w:val="22"/>
          <w:szCs w:val="22"/>
          <w:lang w:val="es-ES"/>
        </w:rPr>
      </w:pPr>
      <w:r w:rsidRPr="0004102D">
        <w:rPr>
          <w:snapToGrid w:val="0"/>
          <w:sz w:val="22"/>
          <w:szCs w:val="22"/>
          <w:lang w:val="es"/>
        </w:rPr>
        <w:t>En este ejemplo, la inclusión de la incertidumbre de sesgo no generó ningún cambio significativo en la incertidumbre expandida, determinada usando únicamente los datos de imprecisión de control de calidad de largo plazo. Por esta razón, los laboratorios a menudo ignoran la incertidumbre de los valores de sesgo si son menores que un límite arbitrario del 20 % al 30 % de la imprecisión intermedia.</w:t>
      </w:r>
    </w:p>
    <w:p w14:paraId="591178D8" w14:textId="473C5D7B" w:rsidR="00724AE5" w:rsidRPr="002435D3" w:rsidRDefault="00000000" w:rsidP="0077726F">
      <w:pPr>
        <w:pStyle w:val="Heading1"/>
        <w:spacing w:before="300" w:line="254" w:lineRule="auto"/>
        <w:ind w:right="233"/>
        <w:rPr>
          <w:snapToGrid w:val="0"/>
          <w:sz w:val="27"/>
          <w:szCs w:val="27"/>
          <w:lang w:val="es-ES"/>
        </w:rPr>
      </w:pPr>
      <w:r w:rsidRPr="002435D3">
        <w:rPr>
          <w:snapToGrid w:val="0"/>
          <w:sz w:val="27"/>
          <w:szCs w:val="27"/>
          <w:lang w:val="es"/>
        </w:rPr>
        <w:t>¿Cómo se calcula la MU para una medición calculada a partir de varios otros resultados?</w:t>
      </w:r>
    </w:p>
    <w:p w14:paraId="0E55D0D6" w14:textId="77777777" w:rsidR="00724AE5" w:rsidRPr="0004102D" w:rsidRDefault="00000000">
      <w:pPr>
        <w:pStyle w:val="BodyText"/>
        <w:spacing w:before="285"/>
        <w:rPr>
          <w:snapToGrid w:val="0"/>
          <w:sz w:val="22"/>
          <w:szCs w:val="22"/>
          <w:lang w:val="es-ES"/>
        </w:rPr>
      </w:pPr>
      <w:r w:rsidRPr="0004102D">
        <w:rPr>
          <w:snapToGrid w:val="0"/>
          <w:sz w:val="22"/>
          <w:szCs w:val="22"/>
          <w:lang w:val="es"/>
        </w:rPr>
        <w:t>Por ejemplo, brecha aniónica = (</w:t>
      </w:r>
      <w:proofErr w:type="spellStart"/>
      <w:r w:rsidRPr="0004102D">
        <w:rPr>
          <w:snapToGrid w:val="0"/>
          <w:sz w:val="22"/>
          <w:szCs w:val="22"/>
          <w:lang w:val="es"/>
        </w:rPr>
        <w:t>Na</w:t>
      </w:r>
      <w:proofErr w:type="spellEnd"/>
      <w:r w:rsidRPr="0004102D">
        <w:rPr>
          <w:snapToGrid w:val="0"/>
          <w:sz w:val="22"/>
          <w:szCs w:val="22"/>
          <w:lang w:val="es"/>
        </w:rPr>
        <w:t>+ + K+) – (Cl- + HCO3-)</w:t>
      </w:r>
    </w:p>
    <w:p w14:paraId="22F90BDB" w14:textId="60040DCD" w:rsidR="00724AE5" w:rsidRPr="0004102D" w:rsidRDefault="00000000" w:rsidP="0077726F">
      <w:pPr>
        <w:pStyle w:val="BodyText"/>
        <w:spacing w:before="300" w:line="254" w:lineRule="auto"/>
        <w:ind w:right="233"/>
        <w:rPr>
          <w:snapToGrid w:val="0"/>
          <w:sz w:val="22"/>
          <w:szCs w:val="22"/>
          <w:lang w:val="es-ES"/>
        </w:rPr>
      </w:pPr>
      <w:r w:rsidRPr="0004102D">
        <w:rPr>
          <w:snapToGrid w:val="0"/>
          <w:sz w:val="22"/>
          <w:szCs w:val="22"/>
          <w:lang w:val="es"/>
        </w:rPr>
        <w:t xml:space="preserve">Igual que el anterior. Si la </w:t>
      </w:r>
      <w:proofErr w:type="spellStart"/>
      <w:r w:rsidRPr="0004102D">
        <w:rPr>
          <w:i/>
          <w:iCs/>
          <w:snapToGrid w:val="0"/>
          <w:sz w:val="22"/>
          <w:szCs w:val="22"/>
          <w:lang w:val="es"/>
        </w:rPr>
        <w:t>U</w:t>
      </w:r>
      <w:r w:rsidRPr="0004102D">
        <w:rPr>
          <w:i/>
          <w:iCs/>
          <w:snapToGrid w:val="0"/>
          <w:sz w:val="22"/>
          <w:szCs w:val="22"/>
          <w:vertAlign w:val="subscript"/>
          <w:lang w:val="es"/>
        </w:rPr>
        <w:t>c</w:t>
      </w:r>
      <w:proofErr w:type="spellEnd"/>
      <w:r w:rsidRPr="0004102D">
        <w:rPr>
          <w:snapToGrid w:val="0"/>
          <w:sz w:val="22"/>
          <w:szCs w:val="22"/>
          <w:lang w:val="es"/>
        </w:rPr>
        <w:t xml:space="preserve"> (1 SD) para </w:t>
      </w:r>
      <w:proofErr w:type="spellStart"/>
      <w:r w:rsidRPr="0004102D">
        <w:rPr>
          <w:snapToGrid w:val="0"/>
          <w:sz w:val="22"/>
          <w:szCs w:val="22"/>
          <w:lang w:val="es"/>
        </w:rPr>
        <w:t>Na</w:t>
      </w:r>
      <w:proofErr w:type="spellEnd"/>
      <w:r w:rsidRPr="0004102D">
        <w:rPr>
          <w:snapToGrid w:val="0"/>
          <w:sz w:val="22"/>
          <w:szCs w:val="22"/>
          <w:lang w:val="es"/>
        </w:rPr>
        <w:t>+ = 1,1 mmol/L, K+ = 0,1 mmol/L, Cl- = 1,2 mmol/L y HCO3- = 0,8 mmol/L</w:t>
      </w:r>
      <w:bookmarkStart w:id="1" w:name="_bookmark1"/>
      <w:bookmarkEnd w:id="1"/>
      <w:r w:rsidRPr="0004102D">
        <w:rPr>
          <w:snapToGrid w:val="0"/>
          <w:sz w:val="22"/>
          <w:szCs w:val="22"/>
          <w:lang w:val="es"/>
        </w:rPr>
        <w:t xml:space="preserve"> </w:t>
      </w:r>
      <w:proofErr w:type="spellStart"/>
      <w:r w:rsidRPr="0004102D">
        <w:rPr>
          <w:snapToGrid w:val="0"/>
          <w:sz w:val="22"/>
          <w:szCs w:val="22"/>
          <w:lang w:val="es"/>
        </w:rPr>
        <w:t>μAG</w:t>
      </w:r>
      <w:proofErr w:type="spellEnd"/>
      <w:r w:rsidRPr="0004102D">
        <w:rPr>
          <w:snapToGrid w:val="0"/>
          <w:sz w:val="22"/>
          <w:szCs w:val="22"/>
          <w:lang w:val="es"/>
        </w:rPr>
        <w:t xml:space="preserve"> = √(1,12 + 0,12 + 1,22 + 0,82) = 1,82 mmol/L; </w:t>
      </w:r>
      <w:r w:rsidRPr="0004102D">
        <w:rPr>
          <w:i/>
          <w:iCs/>
          <w:snapToGrid w:val="0"/>
          <w:sz w:val="22"/>
          <w:szCs w:val="22"/>
          <w:lang w:val="es"/>
        </w:rPr>
        <w:t>U</w:t>
      </w:r>
      <w:r w:rsidRPr="0004102D">
        <w:rPr>
          <w:snapToGrid w:val="0"/>
          <w:sz w:val="22"/>
          <w:szCs w:val="22"/>
          <w:lang w:val="es"/>
        </w:rPr>
        <w:t> = 3,64 mmol/L.</w:t>
      </w:r>
    </w:p>
    <w:p w14:paraId="18B8D3BA" w14:textId="77777777" w:rsidR="0077726F" w:rsidRPr="0004102D" w:rsidRDefault="0077726F" w:rsidP="0077726F">
      <w:pPr>
        <w:pStyle w:val="BodyText"/>
        <w:spacing w:before="32"/>
        <w:ind w:left="0"/>
        <w:rPr>
          <w:snapToGrid w:val="0"/>
          <w:sz w:val="22"/>
          <w:szCs w:val="22"/>
          <w:lang w:val="es-ES"/>
        </w:rPr>
      </w:pPr>
    </w:p>
    <w:p w14:paraId="4748865B" w14:textId="77777777" w:rsidR="00724AE5" w:rsidRPr="0004102D" w:rsidRDefault="00000000">
      <w:pPr>
        <w:pStyle w:val="BodyText"/>
        <w:spacing w:before="13"/>
        <w:rPr>
          <w:snapToGrid w:val="0"/>
          <w:sz w:val="22"/>
          <w:szCs w:val="22"/>
          <w:lang w:val="es-ES"/>
        </w:rPr>
      </w:pPr>
      <w:r w:rsidRPr="0004102D">
        <w:rPr>
          <w:snapToGrid w:val="0"/>
          <w:sz w:val="22"/>
          <w:szCs w:val="22"/>
          <w:lang w:val="es"/>
        </w:rPr>
        <w:t>Un redondeo apropiado da una incertidumbre expandida de ± 4 mmol/L.</w:t>
      </w:r>
    </w:p>
    <w:p w14:paraId="617CAF8D" w14:textId="77777777" w:rsidR="00724AE5" w:rsidRPr="0004102D" w:rsidRDefault="00000000" w:rsidP="0077726F">
      <w:pPr>
        <w:pStyle w:val="BodyText"/>
        <w:spacing w:before="300" w:line="254" w:lineRule="auto"/>
        <w:ind w:right="377"/>
        <w:rPr>
          <w:snapToGrid w:val="0"/>
          <w:sz w:val="22"/>
          <w:szCs w:val="22"/>
          <w:lang w:val="es-ES"/>
        </w:rPr>
      </w:pPr>
      <w:r w:rsidRPr="0004102D">
        <w:rPr>
          <w:snapToGrid w:val="0"/>
          <w:sz w:val="22"/>
          <w:szCs w:val="22"/>
          <w:lang w:val="es"/>
        </w:rPr>
        <w:t>Téngase en cuenta que, aunque el cálculo de AG incluye suma y resta, las incertidumbres estándar se combinan de la misma manera. Si un parámetro calculado incluye divisiones o multiplicaciones (por ejemplo, aclaramiento de creatinina), entonces las desviaciones estándar deben convertirse primero a CV antes del cálculo, es decir, √CV12 + CV22 + CV32 +… etc.).</w:t>
      </w:r>
    </w:p>
    <w:p w14:paraId="2AC1CD7C" w14:textId="77777777" w:rsidR="00724AE5" w:rsidRPr="002435D3" w:rsidRDefault="00000000" w:rsidP="00B10BAC">
      <w:pPr>
        <w:pStyle w:val="Heading1"/>
        <w:spacing w:before="280"/>
        <w:rPr>
          <w:snapToGrid w:val="0"/>
          <w:sz w:val="27"/>
          <w:szCs w:val="27"/>
          <w:lang w:val="es-ES"/>
        </w:rPr>
      </w:pPr>
      <w:r w:rsidRPr="002435D3">
        <w:rPr>
          <w:snapToGrid w:val="0"/>
          <w:sz w:val="27"/>
          <w:szCs w:val="27"/>
          <w:lang w:val="es"/>
        </w:rPr>
        <w:t>¿Cómo deben evaluarse las estimaciones de la MU?</w:t>
      </w:r>
    </w:p>
    <w:p w14:paraId="395F81EA" w14:textId="475D875D" w:rsidR="00724AE5" w:rsidRPr="0004102D" w:rsidRDefault="00000000" w:rsidP="001D3968">
      <w:pPr>
        <w:pStyle w:val="BodyText"/>
        <w:spacing w:before="240" w:line="254" w:lineRule="auto"/>
        <w:ind w:right="521"/>
        <w:rPr>
          <w:snapToGrid w:val="0"/>
          <w:sz w:val="22"/>
          <w:szCs w:val="22"/>
          <w:lang w:val="es-ES"/>
        </w:rPr>
      </w:pPr>
      <w:r w:rsidRPr="0004102D">
        <w:rPr>
          <w:snapToGrid w:val="0"/>
          <w:sz w:val="22"/>
          <w:szCs w:val="22"/>
          <w:lang w:val="es"/>
        </w:rPr>
        <w:t>Antes de comenzar a calcular la MU, es esencial que un laboratorio establezca objetivos de MU clínicamente aceptables para cada analito, por ejemplo, sodio sérico, sodio urinario, etc. No tiene mucho sentido estimar la MU si no hay objetivos que establezcan lo que se requiere para un desempeño clínicamente aceptable. Este importante aspecto no se tratará aquí ya que los enfoques para establecer objetivos están bien descritos en otras partes, por ejemplo, el uso de datos de variación biológica, las recomendaciones de grupos de expertos internacionales y la opinión profesional.</w:t>
      </w:r>
    </w:p>
    <w:p w14:paraId="636E39D1" w14:textId="77777777" w:rsidR="00724AE5" w:rsidRPr="002435D3" w:rsidRDefault="00000000" w:rsidP="001D3968">
      <w:pPr>
        <w:pStyle w:val="Heading1"/>
        <w:spacing w:before="240"/>
        <w:rPr>
          <w:snapToGrid w:val="0"/>
          <w:sz w:val="27"/>
          <w:szCs w:val="27"/>
          <w:lang w:val="es-ES"/>
        </w:rPr>
      </w:pPr>
      <w:r w:rsidRPr="002435D3">
        <w:rPr>
          <w:snapToGrid w:val="0"/>
          <w:sz w:val="27"/>
          <w:szCs w:val="27"/>
          <w:lang w:val="es"/>
        </w:rPr>
        <w:t>Resumen</w:t>
      </w:r>
    </w:p>
    <w:p w14:paraId="16ACE7D0" w14:textId="77777777" w:rsidR="00724AE5" w:rsidRPr="0004102D" w:rsidRDefault="00000000">
      <w:pPr>
        <w:pStyle w:val="BodyText"/>
        <w:spacing w:before="304" w:line="254" w:lineRule="auto"/>
        <w:ind w:right="233"/>
        <w:rPr>
          <w:snapToGrid w:val="0"/>
          <w:sz w:val="22"/>
          <w:szCs w:val="22"/>
          <w:lang w:val="es-ES"/>
        </w:rPr>
      </w:pPr>
      <w:r w:rsidRPr="0004102D">
        <w:rPr>
          <w:snapToGrid w:val="0"/>
          <w:sz w:val="22"/>
          <w:szCs w:val="22"/>
          <w:lang w:val="es"/>
        </w:rPr>
        <w:t>El enfoque descrito anteriormente se denomina "de arriba hacia abajo". Se debe eliminar o minimizar el sesgo significativo conocido y evaluar el sesgo residual en términos de la incertidumbre del valor de sesgo utilizado para</w:t>
      </w:r>
    </w:p>
    <w:p w14:paraId="0245C4B9" w14:textId="77777777" w:rsidR="00724AE5" w:rsidRPr="0004102D" w:rsidRDefault="00000000">
      <w:pPr>
        <w:pStyle w:val="BodyText"/>
        <w:spacing w:line="254" w:lineRule="auto"/>
        <w:ind w:right="233"/>
        <w:rPr>
          <w:snapToGrid w:val="0"/>
          <w:sz w:val="22"/>
          <w:szCs w:val="22"/>
          <w:lang w:val="es-ES"/>
        </w:rPr>
      </w:pPr>
      <w:r w:rsidRPr="0004102D">
        <w:rPr>
          <w:snapToGrid w:val="0"/>
          <w:sz w:val="22"/>
          <w:szCs w:val="22"/>
          <w:lang w:val="es"/>
        </w:rPr>
        <w:t>la recalibración o la corrección de resultados. La incertidumbre del sesgo suele ser trivial en relación con la imprecisión y se ignora, de modo que los datos de imprecisión del control de calidad intermedio capturan la incertidumbre general de los resultados de la medición. Los datos de la MU deben actualizarse periódicamente.</w:t>
      </w:r>
    </w:p>
    <w:p w14:paraId="7B75D666" w14:textId="76BFF0BB" w:rsidR="00724AE5" w:rsidRPr="0004102D" w:rsidRDefault="00000000" w:rsidP="001D3968">
      <w:pPr>
        <w:pStyle w:val="BodyText"/>
        <w:spacing w:before="240" w:line="254" w:lineRule="auto"/>
        <w:ind w:right="452"/>
        <w:rPr>
          <w:snapToGrid w:val="0"/>
          <w:sz w:val="22"/>
          <w:szCs w:val="22"/>
          <w:lang w:val="es-ES"/>
        </w:rPr>
      </w:pPr>
      <w:r w:rsidRPr="0004102D">
        <w:rPr>
          <w:snapToGrid w:val="0"/>
          <w:sz w:val="22"/>
          <w:szCs w:val="22"/>
          <w:lang w:val="es"/>
        </w:rPr>
        <w:t xml:space="preserve">El enfoque "de abajo hacia arriba" estima las incertidumbres asociadas con los componentes individuales de un sistema de medición y las combina en un modelo para reflejar su efecto en el sistema de medición completo. Este enfoque se adapta mejor a las necesidades de los fabricantes de dispositivos médicos de diagnóstico in vitro (In Vitro </w:t>
      </w:r>
      <w:proofErr w:type="spellStart"/>
      <w:r w:rsidRPr="0004102D">
        <w:rPr>
          <w:snapToGrid w:val="0"/>
          <w:sz w:val="22"/>
          <w:szCs w:val="22"/>
          <w:lang w:val="es"/>
        </w:rPr>
        <w:t>Diagnostic</w:t>
      </w:r>
      <w:proofErr w:type="spellEnd"/>
      <w:r w:rsidRPr="0004102D">
        <w:rPr>
          <w:snapToGrid w:val="0"/>
          <w:sz w:val="22"/>
          <w:szCs w:val="22"/>
          <w:lang w:val="es"/>
        </w:rPr>
        <w:t>, IVD) que validan nuevos procedimientos de medición o buscan pasos técnicos donde se pueda reducir la MU, y también para los laboratorios que desarrollan procedimientos de medición internos. Para el enfoque "de abajo hacia arriba", los lectores pueden consultar la reciente guía C-51 del CLSI [</w:t>
      </w:r>
      <w:hyperlink w:anchor="_bookmark1" w:history="1">
        <w:r w:rsidR="00724AE5" w:rsidRPr="0004102D">
          <w:rPr>
            <w:snapToGrid w:val="0"/>
            <w:color w:val="0000FF"/>
            <w:sz w:val="22"/>
            <w:szCs w:val="22"/>
            <w:u w:val="single"/>
            <w:lang w:val="es"/>
          </w:rPr>
          <w:t>3</w:t>
        </w:r>
      </w:hyperlink>
      <w:r w:rsidRPr="0004102D">
        <w:rPr>
          <w:snapToGrid w:val="0"/>
          <w:sz w:val="22"/>
          <w:szCs w:val="22"/>
          <w:lang w:val="es"/>
        </w:rPr>
        <w:t>].</w:t>
      </w:r>
    </w:p>
    <w:p w14:paraId="3F37C66A" w14:textId="77777777" w:rsidR="00724AE5" w:rsidRPr="002435D3" w:rsidRDefault="00000000" w:rsidP="001D3968">
      <w:pPr>
        <w:pStyle w:val="Heading1"/>
        <w:spacing w:before="240"/>
        <w:rPr>
          <w:snapToGrid w:val="0"/>
          <w:sz w:val="27"/>
          <w:szCs w:val="27"/>
          <w:lang w:val="es-ES"/>
        </w:rPr>
      </w:pPr>
      <w:r w:rsidRPr="002435D3">
        <w:rPr>
          <w:snapToGrid w:val="0"/>
          <w:sz w:val="27"/>
          <w:szCs w:val="27"/>
          <w:lang w:val="es"/>
        </w:rPr>
        <w:t>¿Debería notificarse con un procedimiento de rutina la MU a los clínicos?</w:t>
      </w:r>
    </w:p>
    <w:p w14:paraId="59C3A673" w14:textId="77777777" w:rsidR="00724AE5" w:rsidRPr="0004102D" w:rsidRDefault="00000000" w:rsidP="001D3968">
      <w:pPr>
        <w:pStyle w:val="BodyText"/>
        <w:spacing w:before="240" w:line="254" w:lineRule="auto"/>
        <w:ind w:right="809"/>
        <w:rPr>
          <w:snapToGrid w:val="0"/>
          <w:sz w:val="22"/>
          <w:szCs w:val="22"/>
          <w:lang w:val="es-ES"/>
        </w:rPr>
      </w:pPr>
      <w:r w:rsidRPr="0004102D">
        <w:rPr>
          <w:snapToGrid w:val="0"/>
          <w:sz w:val="22"/>
          <w:szCs w:val="22"/>
          <w:lang w:val="es"/>
        </w:rPr>
        <w:t xml:space="preserve">No, pero deberían estar disponibles si se solicitan, por ejemplo, </w:t>
      </w:r>
      <w:proofErr w:type="gramStart"/>
      <w:r w:rsidRPr="0004102D">
        <w:rPr>
          <w:snapToGrid w:val="0"/>
          <w:sz w:val="22"/>
          <w:szCs w:val="22"/>
          <w:lang w:val="es"/>
        </w:rPr>
        <w:t>ensayos clínicos o investigación clínica</w:t>
      </w:r>
      <w:proofErr w:type="gramEnd"/>
      <w:r w:rsidRPr="0004102D">
        <w:rPr>
          <w:snapToGrid w:val="0"/>
          <w:sz w:val="22"/>
          <w:szCs w:val="22"/>
          <w:lang w:val="es"/>
        </w:rPr>
        <w:t>.</w:t>
      </w:r>
    </w:p>
    <w:p w14:paraId="34527F70" w14:textId="77777777" w:rsidR="00724AE5" w:rsidRPr="0004102D" w:rsidRDefault="00000000" w:rsidP="001D3968">
      <w:pPr>
        <w:spacing w:before="240"/>
        <w:ind w:left="110"/>
        <w:rPr>
          <w:b/>
          <w:snapToGrid w:val="0"/>
          <w:lang w:val="es-ES"/>
        </w:rPr>
      </w:pPr>
      <w:r w:rsidRPr="0004102D">
        <w:rPr>
          <w:b/>
          <w:bCs/>
          <w:snapToGrid w:val="0"/>
          <w:lang w:val="es"/>
        </w:rPr>
        <w:t>La MU es útil para el laboratorio porque:</w:t>
      </w:r>
    </w:p>
    <w:p w14:paraId="565CF2E7" w14:textId="50748C8A" w:rsidR="00724AE5" w:rsidRPr="0004102D" w:rsidRDefault="00000000" w:rsidP="001D3968">
      <w:pPr>
        <w:pStyle w:val="BodyText"/>
        <w:numPr>
          <w:ilvl w:val="0"/>
          <w:numId w:val="3"/>
        </w:numPr>
        <w:spacing w:before="240"/>
        <w:ind w:left="686"/>
        <w:rPr>
          <w:snapToGrid w:val="0"/>
          <w:sz w:val="22"/>
          <w:szCs w:val="22"/>
          <w:lang w:val="es-ES"/>
        </w:rPr>
      </w:pPr>
      <w:r w:rsidRPr="0004102D">
        <w:rPr>
          <w:snapToGrid w:val="0"/>
          <w:sz w:val="22"/>
          <w:szCs w:val="22"/>
          <w:lang w:val="es"/>
        </w:rPr>
        <w:t>Proporciona evidencia cuantitativa de que los resultados de la medición cumplen con los requisitos clínicos de confiabilidad.</w:t>
      </w:r>
    </w:p>
    <w:p w14:paraId="60EFAD7D" w14:textId="302243C5" w:rsidR="000F5B8A" w:rsidRPr="0004102D" w:rsidRDefault="00000000" w:rsidP="002A7AF7">
      <w:pPr>
        <w:pStyle w:val="BodyText"/>
        <w:numPr>
          <w:ilvl w:val="0"/>
          <w:numId w:val="6"/>
        </w:numPr>
        <w:ind w:left="677" w:right="518"/>
        <w:rPr>
          <w:snapToGrid w:val="0"/>
          <w:sz w:val="22"/>
          <w:szCs w:val="22"/>
          <w:lang w:val="es-ES"/>
        </w:rPr>
      </w:pPr>
      <w:r w:rsidRPr="0004102D">
        <w:rPr>
          <w:snapToGrid w:val="0"/>
          <w:sz w:val="22"/>
          <w:szCs w:val="22"/>
          <w:lang w:val="es"/>
        </w:rPr>
        <w:lastRenderedPageBreak/>
        <w:t>Es esencial para una comparación significativa de los resultados con valores de referencia, con resultados anteriores utilizando el mismo procedimiento de medición.*</w:t>
      </w:r>
    </w:p>
    <w:p w14:paraId="06E650EA" w14:textId="5620EF27" w:rsidR="00724AE5" w:rsidRPr="0004102D" w:rsidRDefault="00000000" w:rsidP="002A7AF7">
      <w:pPr>
        <w:pStyle w:val="BodyText"/>
        <w:numPr>
          <w:ilvl w:val="0"/>
          <w:numId w:val="6"/>
        </w:numPr>
        <w:spacing w:line="254" w:lineRule="auto"/>
        <w:ind w:left="675" w:right="362"/>
        <w:rPr>
          <w:rFonts w:ascii="Times New Roman"/>
          <w:snapToGrid w:val="0"/>
          <w:sz w:val="22"/>
          <w:szCs w:val="22"/>
          <w:lang w:val="es-ES"/>
        </w:rPr>
      </w:pPr>
      <w:r w:rsidRPr="0004102D">
        <w:rPr>
          <w:snapToGrid w:val="0"/>
          <w:sz w:val="22"/>
          <w:szCs w:val="22"/>
          <w:lang w:val="es"/>
        </w:rPr>
        <w:t>Puede brindar información sobre qué pasos técnicos podrían mejorarse para reducir la MU general.</w:t>
      </w:r>
    </w:p>
    <w:p w14:paraId="4CBAD169" w14:textId="78D48C6C" w:rsidR="00724AE5" w:rsidRPr="0004102D" w:rsidRDefault="00000000" w:rsidP="002A7AF7">
      <w:pPr>
        <w:pStyle w:val="BodyText"/>
        <w:numPr>
          <w:ilvl w:val="0"/>
          <w:numId w:val="6"/>
        </w:numPr>
        <w:spacing w:line="254" w:lineRule="auto"/>
        <w:ind w:left="675" w:right="377"/>
        <w:rPr>
          <w:snapToGrid w:val="0"/>
          <w:sz w:val="22"/>
          <w:szCs w:val="22"/>
          <w:lang w:val="es-ES"/>
        </w:rPr>
      </w:pPr>
      <w:r w:rsidRPr="0004102D">
        <w:rPr>
          <w:snapToGrid w:val="0"/>
          <w:sz w:val="22"/>
          <w:szCs w:val="22"/>
          <w:lang w:val="es"/>
        </w:rPr>
        <w:t>Es un componente esencial para lograr resultados de medición estandarizados y armonizados a través de la trazabilidad metrológica.</w:t>
      </w:r>
    </w:p>
    <w:p w14:paraId="4EA1F8B7" w14:textId="77777777" w:rsidR="00724AE5" w:rsidRPr="0004102D" w:rsidRDefault="00000000" w:rsidP="000F5B8A">
      <w:pPr>
        <w:pStyle w:val="BodyText"/>
        <w:spacing w:before="300" w:line="254" w:lineRule="auto"/>
        <w:ind w:right="233"/>
        <w:rPr>
          <w:snapToGrid w:val="0"/>
          <w:sz w:val="22"/>
          <w:szCs w:val="22"/>
          <w:lang w:val="es-ES"/>
        </w:rPr>
      </w:pPr>
      <w:r w:rsidRPr="0004102D">
        <w:rPr>
          <w:snapToGrid w:val="0"/>
          <w:sz w:val="22"/>
          <w:szCs w:val="22"/>
          <w:lang w:val="es"/>
        </w:rPr>
        <w:t>*La MU se puede utilizar para evaluar si el resultado de un paciente es mediblemente diferente con una confianza de ~95 % a partir de un valor de referencia, o de un resultado anterior, o combinado con variación biológica intraindividual, exactamente de la misma manera como lo describe Fraser (4).</w:t>
      </w:r>
    </w:p>
    <w:p w14:paraId="4E172DCE" w14:textId="77777777" w:rsidR="00724AE5" w:rsidRPr="002435D3" w:rsidRDefault="00000000" w:rsidP="000F5B8A">
      <w:pPr>
        <w:pStyle w:val="Heading1"/>
        <w:spacing w:before="280"/>
        <w:rPr>
          <w:snapToGrid w:val="0"/>
          <w:sz w:val="27"/>
          <w:szCs w:val="27"/>
          <w:lang w:val="es-ES"/>
        </w:rPr>
      </w:pPr>
      <w:r w:rsidRPr="002435D3">
        <w:rPr>
          <w:snapToGrid w:val="0"/>
          <w:sz w:val="27"/>
          <w:szCs w:val="27"/>
          <w:lang w:val="es"/>
        </w:rPr>
        <w:t xml:space="preserve">Resumen de la MU y </w:t>
      </w:r>
      <w:proofErr w:type="spellStart"/>
      <w:r w:rsidRPr="002435D3">
        <w:rPr>
          <w:snapToGrid w:val="0"/>
          <w:sz w:val="27"/>
          <w:szCs w:val="27"/>
          <w:lang w:val="es"/>
        </w:rPr>
        <w:t>el</w:t>
      </w:r>
      <w:proofErr w:type="spellEnd"/>
      <w:r w:rsidRPr="002435D3">
        <w:rPr>
          <w:snapToGrid w:val="0"/>
          <w:sz w:val="27"/>
          <w:szCs w:val="27"/>
          <w:lang w:val="es"/>
        </w:rPr>
        <w:t xml:space="preserve"> TE</w:t>
      </w:r>
    </w:p>
    <w:p w14:paraId="6A4504A3" w14:textId="5FB18D6B" w:rsidR="00724AE5" w:rsidRPr="0004102D" w:rsidRDefault="002A7AF7" w:rsidP="002A7AF7">
      <w:pPr>
        <w:pStyle w:val="BodyText"/>
        <w:tabs>
          <w:tab w:val="left" w:pos="360"/>
        </w:tabs>
        <w:spacing w:before="280" w:line="238" w:lineRule="auto"/>
        <w:ind w:left="705" w:right="806" w:hanging="403"/>
        <w:rPr>
          <w:snapToGrid w:val="0"/>
          <w:sz w:val="22"/>
          <w:szCs w:val="22"/>
          <w:lang w:val="es-ES"/>
        </w:rPr>
      </w:pPr>
      <w:r w:rsidRPr="0004102D">
        <w:rPr>
          <w:rFonts w:ascii="Arial" w:hAnsi="Arial"/>
          <w:snapToGrid w:val="0"/>
          <w:sz w:val="22"/>
          <w:szCs w:val="22"/>
          <w:lang w:val="es"/>
        </w:rPr>
        <w:t>●</w:t>
      </w:r>
      <w:r w:rsidRPr="0004102D">
        <w:rPr>
          <w:snapToGrid w:val="0"/>
          <w:sz w:val="22"/>
          <w:szCs w:val="22"/>
          <w:lang w:val="es"/>
        </w:rPr>
        <w:tab/>
      </w:r>
      <w:proofErr w:type="spellStart"/>
      <w:r w:rsidRPr="0004102D">
        <w:rPr>
          <w:snapToGrid w:val="0"/>
          <w:sz w:val="22"/>
          <w:szCs w:val="22"/>
          <w:lang w:val="es"/>
        </w:rPr>
        <w:t>El</w:t>
      </w:r>
      <w:proofErr w:type="spellEnd"/>
      <w:r w:rsidRPr="0004102D">
        <w:rPr>
          <w:snapToGrid w:val="0"/>
          <w:sz w:val="22"/>
          <w:szCs w:val="22"/>
          <w:lang w:val="es"/>
        </w:rPr>
        <w:t xml:space="preserve"> TE proporciona un valor aproximado del peor caso para el error de un sistema de medición.</w:t>
      </w:r>
    </w:p>
    <w:p w14:paraId="74CFC205" w14:textId="2D30B30F" w:rsidR="00724AE5" w:rsidRPr="0004102D" w:rsidRDefault="002A7AF7" w:rsidP="002A7AF7">
      <w:pPr>
        <w:pStyle w:val="BodyText"/>
        <w:tabs>
          <w:tab w:val="num" w:pos="693"/>
        </w:tabs>
        <w:spacing w:line="238" w:lineRule="auto"/>
        <w:ind w:left="693" w:right="374" w:hanging="391"/>
        <w:rPr>
          <w:snapToGrid w:val="0"/>
          <w:sz w:val="22"/>
          <w:szCs w:val="22"/>
          <w:lang w:val="es-ES"/>
        </w:rPr>
      </w:pPr>
      <w:r w:rsidRPr="0004102D">
        <w:rPr>
          <w:rFonts w:ascii="Arial" w:hAnsi="Arial"/>
          <w:snapToGrid w:val="0"/>
          <w:sz w:val="22"/>
          <w:szCs w:val="22"/>
          <w:lang w:val="es"/>
        </w:rPr>
        <w:t>●</w:t>
      </w:r>
      <w:r w:rsidRPr="0004102D">
        <w:rPr>
          <w:snapToGrid w:val="0"/>
          <w:sz w:val="22"/>
          <w:szCs w:val="22"/>
          <w:lang w:val="es"/>
        </w:rPr>
        <w:tab/>
      </w:r>
      <w:proofErr w:type="spellStart"/>
      <w:r w:rsidRPr="0004102D">
        <w:rPr>
          <w:snapToGrid w:val="0"/>
          <w:sz w:val="22"/>
          <w:szCs w:val="22"/>
          <w:lang w:val="es"/>
        </w:rPr>
        <w:t>El</w:t>
      </w:r>
      <w:proofErr w:type="spellEnd"/>
      <w:r w:rsidRPr="0004102D">
        <w:rPr>
          <w:snapToGrid w:val="0"/>
          <w:sz w:val="22"/>
          <w:szCs w:val="22"/>
          <w:lang w:val="es"/>
        </w:rPr>
        <w:t xml:space="preserve"> TE no reconoce que el resultado de cada paciente individual podría tener otros resultados posibles con menos error que Sesgo + 1,65 SD.</w:t>
      </w:r>
    </w:p>
    <w:p w14:paraId="61532DBB" w14:textId="4052210A" w:rsidR="00724AE5" w:rsidRPr="0004102D" w:rsidRDefault="002A7AF7" w:rsidP="002A7AF7">
      <w:pPr>
        <w:pStyle w:val="BodyText"/>
        <w:tabs>
          <w:tab w:val="num" w:pos="693"/>
          <w:tab w:val="num" w:pos="1550"/>
        </w:tabs>
        <w:spacing w:line="272" w:lineRule="exact"/>
        <w:ind w:left="306"/>
        <w:rPr>
          <w:snapToGrid w:val="0"/>
          <w:sz w:val="22"/>
          <w:szCs w:val="22"/>
          <w:lang w:val="es-ES"/>
        </w:rPr>
      </w:pPr>
      <w:r w:rsidRPr="0004102D">
        <w:rPr>
          <w:rFonts w:ascii="Arial" w:hAnsi="Arial"/>
          <w:snapToGrid w:val="0"/>
          <w:sz w:val="22"/>
          <w:szCs w:val="22"/>
          <w:lang w:val="es"/>
        </w:rPr>
        <w:t>●</w:t>
      </w:r>
      <w:r w:rsidRPr="0004102D">
        <w:rPr>
          <w:snapToGrid w:val="0"/>
          <w:sz w:val="22"/>
          <w:szCs w:val="22"/>
          <w:lang w:val="es"/>
        </w:rPr>
        <w:tab/>
      </w:r>
      <w:proofErr w:type="spellStart"/>
      <w:r w:rsidRPr="0004102D">
        <w:rPr>
          <w:snapToGrid w:val="0"/>
          <w:sz w:val="22"/>
          <w:szCs w:val="22"/>
          <w:lang w:val="es"/>
        </w:rPr>
        <w:t>El</w:t>
      </w:r>
      <w:proofErr w:type="spellEnd"/>
      <w:r w:rsidRPr="0004102D">
        <w:rPr>
          <w:snapToGrid w:val="0"/>
          <w:sz w:val="22"/>
          <w:szCs w:val="22"/>
          <w:lang w:val="es"/>
        </w:rPr>
        <w:t xml:space="preserve"> TE es útil para establecer límites superiores de error permitido.</w:t>
      </w:r>
    </w:p>
    <w:p w14:paraId="4F0E38C6" w14:textId="29CA4743" w:rsidR="00724AE5" w:rsidRPr="0004102D" w:rsidRDefault="002A7AF7" w:rsidP="002A7AF7">
      <w:pPr>
        <w:pStyle w:val="BodyText"/>
        <w:tabs>
          <w:tab w:val="num" w:pos="693"/>
          <w:tab w:val="left" w:pos="9288"/>
        </w:tabs>
        <w:spacing w:before="16" w:line="254" w:lineRule="auto"/>
        <w:ind w:left="702" w:right="1541" w:hanging="396"/>
        <w:jc w:val="both"/>
        <w:rPr>
          <w:snapToGrid w:val="0"/>
          <w:sz w:val="22"/>
          <w:szCs w:val="22"/>
          <w:lang w:val="es-ES"/>
        </w:rPr>
      </w:pPr>
      <w:r w:rsidRPr="0004102D">
        <w:rPr>
          <w:rFonts w:ascii="Arial" w:hAnsi="Arial"/>
          <w:snapToGrid w:val="0"/>
          <w:sz w:val="22"/>
          <w:szCs w:val="22"/>
          <w:lang w:val="es"/>
        </w:rPr>
        <w:t>●</w:t>
      </w:r>
      <w:r w:rsidRPr="0004102D">
        <w:rPr>
          <w:snapToGrid w:val="0"/>
          <w:sz w:val="22"/>
          <w:szCs w:val="22"/>
          <w:lang w:val="es"/>
        </w:rPr>
        <w:tab/>
        <w:t>La MU no se ocupa de estimar el error total de un sistema de medición.</w:t>
      </w:r>
    </w:p>
    <w:p w14:paraId="6FA4D599" w14:textId="501CABE2" w:rsidR="00724AE5" w:rsidRPr="0004102D" w:rsidRDefault="002A7AF7" w:rsidP="002A7AF7">
      <w:pPr>
        <w:pStyle w:val="BodyText"/>
        <w:spacing w:line="254" w:lineRule="auto"/>
        <w:ind w:left="702" w:right="521" w:hanging="396"/>
        <w:rPr>
          <w:snapToGrid w:val="0"/>
          <w:sz w:val="22"/>
          <w:szCs w:val="22"/>
          <w:lang w:val="es-ES"/>
        </w:rPr>
      </w:pPr>
      <w:r w:rsidRPr="0004102D">
        <w:rPr>
          <w:rFonts w:ascii="Arial" w:hAnsi="Arial"/>
          <w:snapToGrid w:val="0"/>
          <w:sz w:val="22"/>
          <w:szCs w:val="22"/>
          <w:lang w:val="es"/>
        </w:rPr>
        <w:t>●</w:t>
      </w:r>
      <w:r w:rsidRPr="0004102D">
        <w:rPr>
          <w:snapToGrid w:val="0"/>
          <w:sz w:val="22"/>
          <w:szCs w:val="22"/>
          <w:lang w:val="es"/>
        </w:rPr>
        <w:tab/>
        <w:t>La MU se ocupa de estimar un intervalo de valores dentro del cual se cree que se encuentra el valor "verdadero" de un analito medido, con un nivel de confianza establecido.</w:t>
      </w:r>
    </w:p>
    <w:p w14:paraId="21A34E56" w14:textId="76FACF12" w:rsidR="00724AE5" w:rsidRPr="0004102D" w:rsidRDefault="002A7AF7" w:rsidP="00EA48D0">
      <w:pPr>
        <w:pStyle w:val="BodyText"/>
        <w:spacing w:line="271" w:lineRule="exact"/>
        <w:ind w:left="693" w:hanging="387"/>
        <w:rPr>
          <w:snapToGrid w:val="0"/>
          <w:sz w:val="22"/>
          <w:szCs w:val="22"/>
          <w:lang w:val="es-ES"/>
        </w:rPr>
      </w:pPr>
      <w:r w:rsidRPr="0004102D">
        <w:rPr>
          <w:rFonts w:ascii="Arial" w:hAnsi="Arial"/>
          <w:snapToGrid w:val="0"/>
          <w:sz w:val="22"/>
          <w:szCs w:val="22"/>
          <w:lang w:val="es"/>
        </w:rPr>
        <w:t>●</w:t>
      </w:r>
      <w:r w:rsidRPr="0004102D">
        <w:rPr>
          <w:snapToGrid w:val="0"/>
          <w:sz w:val="22"/>
          <w:szCs w:val="22"/>
          <w:lang w:val="es"/>
        </w:rPr>
        <w:tab/>
        <w:t>Se elimina o minimiza el sesgo conocido.</w:t>
      </w:r>
    </w:p>
    <w:p w14:paraId="1101078C" w14:textId="0EE6DACE" w:rsidR="00724AE5" w:rsidRPr="0004102D" w:rsidRDefault="002A7AF7" w:rsidP="002A7AF7">
      <w:pPr>
        <w:pStyle w:val="BodyText"/>
        <w:tabs>
          <w:tab w:val="num" w:pos="693"/>
        </w:tabs>
        <w:spacing w:before="16" w:line="254" w:lineRule="auto"/>
        <w:ind w:left="684" w:right="233" w:hanging="378"/>
        <w:rPr>
          <w:snapToGrid w:val="0"/>
          <w:sz w:val="22"/>
          <w:szCs w:val="22"/>
          <w:lang w:val="es-ES"/>
        </w:rPr>
      </w:pPr>
      <w:r w:rsidRPr="0004102D">
        <w:rPr>
          <w:rFonts w:ascii="Arial" w:hAnsi="Arial"/>
          <w:snapToGrid w:val="0"/>
          <w:sz w:val="22"/>
          <w:szCs w:val="22"/>
          <w:lang w:val="es"/>
        </w:rPr>
        <w:t>●</w:t>
      </w:r>
      <w:r w:rsidRPr="0004102D">
        <w:rPr>
          <w:snapToGrid w:val="0"/>
          <w:sz w:val="22"/>
          <w:szCs w:val="22"/>
          <w:lang w:val="es"/>
        </w:rPr>
        <w:tab/>
        <w:t>La MU considera que un resultado de medición único es la mejor estimación de un valor verdadero y centra en él la dispersión de otros valores que podrían haberse obtenido si se hubiera repetido la medición (normalmente con una confianza de ~95 %).</w:t>
      </w:r>
    </w:p>
    <w:p w14:paraId="6F8B3237" w14:textId="4964CEA7" w:rsidR="00724AE5" w:rsidRPr="0004102D" w:rsidRDefault="002A7AF7" w:rsidP="00EA48D0">
      <w:pPr>
        <w:pStyle w:val="BodyText"/>
        <w:ind w:left="693" w:right="230" w:hanging="391"/>
        <w:rPr>
          <w:snapToGrid w:val="0"/>
          <w:sz w:val="22"/>
          <w:szCs w:val="22"/>
          <w:lang w:val="es-ES"/>
        </w:rPr>
      </w:pPr>
      <w:r w:rsidRPr="0004102D">
        <w:rPr>
          <w:rFonts w:ascii="Arial" w:hAnsi="Arial"/>
          <w:snapToGrid w:val="0"/>
          <w:sz w:val="22"/>
          <w:szCs w:val="22"/>
          <w:lang w:val="es"/>
        </w:rPr>
        <w:t>●</w:t>
      </w:r>
      <w:r w:rsidRPr="0004102D">
        <w:rPr>
          <w:snapToGrid w:val="0"/>
          <w:sz w:val="22"/>
          <w:szCs w:val="22"/>
          <w:lang w:val="es"/>
        </w:rPr>
        <w:tab/>
        <w:t>La MU es el enfoque adecuado para comparar de manera significativa los resultados de las mediciones con valores de referencia y resultados anteriores del mismo tipo.</w:t>
      </w:r>
    </w:p>
    <w:p w14:paraId="3C81C3DC" w14:textId="77777777" w:rsidR="00724AE5" w:rsidRPr="002435D3" w:rsidRDefault="00000000" w:rsidP="000F5B8A">
      <w:pPr>
        <w:pStyle w:val="Heading1"/>
        <w:spacing w:before="280"/>
        <w:rPr>
          <w:snapToGrid w:val="0"/>
          <w:sz w:val="27"/>
          <w:szCs w:val="27"/>
        </w:rPr>
      </w:pPr>
      <w:r w:rsidRPr="002435D3">
        <w:rPr>
          <w:snapToGrid w:val="0"/>
          <w:sz w:val="27"/>
          <w:szCs w:val="27"/>
          <w:lang w:val="es"/>
        </w:rPr>
        <w:t>Referencias</w:t>
      </w:r>
    </w:p>
    <w:p w14:paraId="5943A6E3" w14:textId="77777777" w:rsidR="00724AE5" w:rsidRPr="0004102D" w:rsidRDefault="00000000">
      <w:pPr>
        <w:pStyle w:val="ListParagraph"/>
        <w:numPr>
          <w:ilvl w:val="0"/>
          <w:numId w:val="1"/>
        </w:numPr>
        <w:tabs>
          <w:tab w:val="left" w:pos="686"/>
        </w:tabs>
        <w:spacing w:before="304" w:line="254" w:lineRule="auto"/>
        <w:ind w:right="1097"/>
        <w:rPr>
          <w:snapToGrid w:val="0"/>
        </w:rPr>
      </w:pPr>
      <w:r w:rsidRPr="0004102D">
        <w:rPr>
          <w:snapToGrid w:val="0"/>
          <w:lang w:val="en-GB"/>
        </w:rPr>
        <w:t xml:space="preserve">White GH. Basics of estimating measurement uncertainty. Clin </w:t>
      </w:r>
      <w:proofErr w:type="spellStart"/>
      <w:r w:rsidRPr="0004102D">
        <w:rPr>
          <w:snapToGrid w:val="0"/>
          <w:lang w:val="en-GB"/>
        </w:rPr>
        <w:t>Biochem</w:t>
      </w:r>
      <w:proofErr w:type="spellEnd"/>
      <w:r w:rsidRPr="0004102D">
        <w:rPr>
          <w:snapToGrid w:val="0"/>
          <w:lang w:val="en-GB"/>
        </w:rPr>
        <w:t xml:space="preserve"> Rev 2008;</w:t>
      </w:r>
      <w:proofErr w:type="gramStart"/>
      <w:r w:rsidRPr="0004102D">
        <w:rPr>
          <w:snapToGrid w:val="0"/>
          <w:lang w:val="en-GB"/>
        </w:rPr>
        <w:t>29:S</w:t>
      </w:r>
      <w:proofErr w:type="gramEnd"/>
      <w:r w:rsidRPr="0004102D">
        <w:rPr>
          <w:snapToGrid w:val="0"/>
          <w:lang w:val="en-GB"/>
        </w:rPr>
        <w:t>53-S60.</w:t>
      </w:r>
    </w:p>
    <w:p w14:paraId="136635BF" w14:textId="77777777" w:rsidR="00724AE5" w:rsidRPr="0004102D" w:rsidRDefault="00000000">
      <w:pPr>
        <w:pStyle w:val="ListParagraph"/>
        <w:numPr>
          <w:ilvl w:val="0"/>
          <w:numId w:val="1"/>
        </w:numPr>
        <w:tabs>
          <w:tab w:val="left" w:pos="686"/>
        </w:tabs>
        <w:spacing w:line="254" w:lineRule="auto"/>
        <w:ind w:right="953"/>
        <w:rPr>
          <w:snapToGrid w:val="0"/>
        </w:rPr>
      </w:pPr>
      <w:r w:rsidRPr="0004102D">
        <w:rPr>
          <w:snapToGrid w:val="0"/>
          <w:lang w:val="en-GB"/>
        </w:rPr>
        <w:t xml:space="preserve">Requirements for the estimation of measurement uncertainty. National Pathology Accreditation Advisory Council, Australian Government Department of Health and Ageing, 2007. </w:t>
      </w:r>
      <w:hyperlink r:id="rId9">
        <w:r w:rsidR="00724AE5" w:rsidRPr="0004102D">
          <w:rPr>
            <w:snapToGrid w:val="0"/>
            <w:lang w:val="es"/>
          </w:rPr>
          <w:t>www.health.gov.au</w:t>
        </w:r>
      </w:hyperlink>
      <w:r w:rsidRPr="0004102D">
        <w:rPr>
          <w:snapToGrid w:val="0"/>
          <w:lang w:val="es"/>
        </w:rPr>
        <w:t xml:space="preserve"> </w:t>
      </w:r>
      <w:proofErr w:type="spellStart"/>
      <w:r w:rsidRPr="0004102D">
        <w:rPr>
          <w:snapToGrid w:val="0"/>
          <w:lang w:val="es"/>
        </w:rPr>
        <w:t>Search</w:t>
      </w:r>
      <w:proofErr w:type="spellEnd"/>
      <w:r w:rsidRPr="0004102D">
        <w:rPr>
          <w:snapToGrid w:val="0"/>
          <w:lang w:val="es"/>
        </w:rPr>
        <w:t xml:space="preserve"> </w:t>
      </w:r>
      <w:proofErr w:type="spellStart"/>
      <w:r w:rsidRPr="0004102D">
        <w:rPr>
          <w:snapToGrid w:val="0"/>
          <w:lang w:val="es"/>
        </w:rPr>
        <w:t>for</w:t>
      </w:r>
      <w:proofErr w:type="spellEnd"/>
      <w:r w:rsidRPr="0004102D">
        <w:rPr>
          <w:snapToGrid w:val="0"/>
          <w:lang w:val="es"/>
        </w:rPr>
        <w:t xml:space="preserve"> NPAAC </w:t>
      </w:r>
      <w:proofErr w:type="spellStart"/>
      <w:r w:rsidRPr="0004102D">
        <w:rPr>
          <w:snapToGrid w:val="0"/>
          <w:lang w:val="es"/>
        </w:rPr>
        <w:t>publications</w:t>
      </w:r>
      <w:proofErr w:type="spellEnd"/>
      <w:r w:rsidRPr="0004102D">
        <w:rPr>
          <w:snapToGrid w:val="0"/>
          <w:lang w:val="es"/>
        </w:rPr>
        <w:t xml:space="preserve"> (</w:t>
      </w:r>
      <w:proofErr w:type="spellStart"/>
      <w:r w:rsidRPr="0004102D">
        <w:rPr>
          <w:snapToGrid w:val="0"/>
          <w:lang w:val="es"/>
        </w:rPr>
        <w:t>accessed</w:t>
      </w:r>
      <w:proofErr w:type="spellEnd"/>
      <w:r w:rsidRPr="0004102D">
        <w:rPr>
          <w:snapToGrid w:val="0"/>
          <w:lang w:val="es"/>
        </w:rPr>
        <w:t xml:space="preserve"> 2/04/2012).</w:t>
      </w:r>
    </w:p>
    <w:p w14:paraId="5328ADB6" w14:textId="77777777" w:rsidR="00724AE5" w:rsidRPr="0004102D" w:rsidRDefault="00000000">
      <w:pPr>
        <w:pStyle w:val="ListParagraph"/>
        <w:numPr>
          <w:ilvl w:val="0"/>
          <w:numId w:val="1"/>
        </w:numPr>
        <w:tabs>
          <w:tab w:val="left" w:pos="686"/>
        </w:tabs>
        <w:spacing w:line="254" w:lineRule="auto"/>
        <w:ind w:right="1385"/>
        <w:rPr>
          <w:snapToGrid w:val="0"/>
        </w:rPr>
      </w:pPr>
      <w:r w:rsidRPr="0004102D">
        <w:rPr>
          <w:snapToGrid w:val="0"/>
          <w:lang w:val="en-GB"/>
        </w:rPr>
        <w:t>C51-A. Expression of Measurement Uncertainty in Laboratory Medicine. CLSI, Wayne, PA.</w:t>
      </w:r>
    </w:p>
    <w:p w14:paraId="5A9D0A57" w14:textId="77777777" w:rsidR="00724AE5" w:rsidRPr="0004102D" w:rsidRDefault="00000000">
      <w:pPr>
        <w:pStyle w:val="ListParagraph"/>
        <w:numPr>
          <w:ilvl w:val="0"/>
          <w:numId w:val="1"/>
        </w:numPr>
        <w:tabs>
          <w:tab w:val="left" w:pos="685"/>
          <w:tab w:val="left" w:pos="757"/>
        </w:tabs>
        <w:spacing w:line="379" w:lineRule="auto"/>
        <w:ind w:left="757" w:right="953" w:hanging="591"/>
        <w:rPr>
          <w:snapToGrid w:val="0"/>
        </w:rPr>
      </w:pPr>
      <w:r w:rsidRPr="0004102D">
        <w:rPr>
          <w:snapToGrid w:val="0"/>
          <w:lang w:val="en-GB"/>
        </w:rPr>
        <w:t>Fraser CG. Biological Variation: From principles to practice. 2001; AACC Press, Washington DC.</w:t>
      </w:r>
    </w:p>
    <w:sectPr w:rsidR="00724AE5" w:rsidRPr="0004102D" w:rsidSect="00C87F4C">
      <w:footerReference w:type="default" r:id="rId10"/>
      <w:pgSz w:w="11910" w:h="16840"/>
      <w:pgMar w:top="1555" w:right="734" w:bottom="1179" w:left="734" w:header="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5635BB" w14:textId="77777777" w:rsidR="00EF64FA" w:rsidRDefault="00EF64FA">
      <w:r>
        <w:separator/>
      </w:r>
    </w:p>
  </w:endnote>
  <w:endnote w:type="continuationSeparator" w:id="0">
    <w:p w14:paraId="544AF303" w14:textId="77777777" w:rsidR="00EF64FA" w:rsidRDefault="00EF64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99A26" w14:textId="77777777" w:rsidR="00070B74" w:rsidRPr="00F6462C" w:rsidRDefault="00070B74" w:rsidP="0061054E">
    <w:pPr>
      <w:pStyle w:val="Footer"/>
      <w:ind w:right="116"/>
      <w:jc w:val="right"/>
      <w:rPr>
        <w:color w:val="AFAFAF"/>
        <w:sz w:val="16"/>
        <w:szCs w:val="16"/>
        <w:u w:val="single"/>
      </w:rPr>
    </w:pPr>
    <w:r>
      <w:fldChar w:fldCharType="begin"/>
    </w:r>
    <w:r>
      <w:instrText>HYPERLINK "mailto:http://www.phoca.cz/phocapdf"</w:instrText>
    </w:r>
    <w:r>
      <w:fldChar w:fldCharType="separate"/>
    </w:r>
    <w:proofErr w:type="spellStart"/>
    <w:r>
      <w:rPr>
        <w:rStyle w:val="Hyperlink"/>
        <w:color w:val="AFAFAF"/>
        <w:sz w:val="16"/>
        <w:szCs w:val="16"/>
        <w:lang w:val="es"/>
      </w:rPr>
      <w:t>Phoca</w:t>
    </w:r>
    <w:proofErr w:type="spellEnd"/>
    <w:r>
      <w:rPr>
        <w:rStyle w:val="Hyperlink"/>
        <w:color w:val="AFAFAF"/>
        <w:sz w:val="16"/>
        <w:szCs w:val="16"/>
        <w:lang w:val="es"/>
      </w:rPr>
      <w:t xml:space="preserve"> PDF</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1B4660" w14:textId="77777777" w:rsidR="00EF64FA" w:rsidRDefault="00EF64FA">
      <w:r>
        <w:separator/>
      </w:r>
    </w:p>
  </w:footnote>
  <w:footnote w:type="continuationSeparator" w:id="0">
    <w:p w14:paraId="58DC225A" w14:textId="77777777" w:rsidR="00EF64FA" w:rsidRDefault="00EF64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78BBEC5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60035409" o:spid="_x0000_i1025" type="#_x0000_t75" style="width:10.05pt;height:10.05pt;visibility:visible;mso-wrap-style:square">
            <v:imagedata r:id="rId1" o:title=""/>
            <o:lock v:ext="edit" aspectratio="f"/>
          </v:shape>
        </w:pict>
      </mc:Choice>
      <mc:Fallback>
        <w:drawing>
          <wp:inline distT="0" distB="0" distL="0" distR="0" wp14:anchorId="614A2CE8" wp14:editId="75A99F4A">
            <wp:extent cx="127635" cy="127635"/>
            <wp:effectExtent l="0" t="0" r="0" b="0"/>
            <wp:docPr id="2060035409" name="Picture 20600354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7635" cy="127635"/>
                    </a:xfrm>
                    <a:prstGeom prst="rect">
                      <a:avLst/>
                    </a:prstGeom>
                    <a:noFill/>
                    <a:ln>
                      <a:noFill/>
                    </a:ln>
                  </pic:spPr>
                </pic:pic>
              </a:graphicData>
            </a:graphic>
          </wp:inline>
        </w:drawing>
      </mc:Fallback>
    </mc:AlternateContent>
  </w:numPicBullet>
  <w:numPicBullet w:numPicBulletId="1">
    <mc:AlternateContent>
      <mc:Choice Requires="v">
        <w:pict>
          <v:shape w14:anchorId="71B9483A" id="Picture 1211304042" o:spid="_x0000_i1025" type="#_x0000_t75" style="width:8.35pt;height:8.35pt;visibility:visible;mso-wrap-style:square">
            <v:imagedata r:id="rId3" o:title=""/>
            <o:lock v:ext="edit" aspectratio="f"/>
          </v:shape>
        </w:pict>
      </mc:Choice>
      <mc:Fallback>
        <w:drawing>
          <wp:inline distT="0" distB="0" distL="0" distR="0" wp14:anchorId="0750C004" wp14:editId="3FE2FCBF">
            <wp:extent cx="106045" cy="106045"/>
            <wp:effectExtent l="0" t="0" r="0" b="0"/>
            <wp:docPr id="1211304042" name="Picture 12113040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22"/>
                    <pic:cNvPicPr>
                      <a:picLocks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6045" cy="106045"/>
                    </a:xfrm>
                    <a:prstGeom prst="rect">
                      <a:avLst/>
                    </a:prstGeom>
                    <a:noFill/>
                    <a:ln>
                      <a:noFill/>
                    </a:ln>
                  </pic:spPr>
                </pic:pic>
              </a:graphicData>
            </a:graphic>
          </wp:inline>
        </w:drawing>
      </mc:Fallback>
    </mc:AlternateContent>
  </w:numPicBullet>
  <w:abstractNum w:abstractNumId="0" w15:restartNumberingAfterBreak="0">
    <w:nsid w:val="2451038D"/>
    <w:multiLevelType w:val="hybridMultilevel"/>
    <w:tmpl w:val="C382F1FE"/>
    <w:lvl w:ilvl="0" w:tplc="49628734">
      <w:start w:val="1"/>
      <w:numFmt w:val="bullet"/>
      <w:lvlText w:val=""/>
      <w:lvlJc w:val="left"/>
      <w:pPr>
        <w:ind w:left="720" w:hanging="360"/>
      </w:pPr>
      <w:rPr>
        <w:rFonts w:ascii="Symbol" w:hAnsi="Symbol" w:hint="default"/>
        <w:color w:val="0000FF"/>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250A38F2"/>
    <w:multiLevelType w:val="hybridMultilevel"/>
    <w:tmpl w:val="C122CBFC"/>
    <w:lvl w:ilvl="0" w:tplc="7C3C7CCA">
      <w:start w:val="1"/>
      <w:numFmt w:val="bullet"/>
      <w:lvlText w:val=""/>
      <w:lvlJc w:val="left"/>
      <w:pPr>
        <w:ind w:left="1054" w:hanging="360"/>
      </w:pPr>
      <w:rPr>
        <w:rFonts w:ascii="Symbol" w:hAnsi="Symbol" w:hint="default"/>
        <w:color w:val="auto"/>
      </w:rPr>
    </w:lvl>
    <w:lvl w:ilvl="1" w:tplc="40090003" w:tentative="1">
      <w:start w:val="1"/>
      <w:numFmt w:val="bullet"/>
      <w:lvlText w:val="o"/>
      <w:lvlJc w:val="left"/>
      <w:pPr>
        <w:ind w:left="1774" w:hanging="360"/>
      </w:pPr>
      <w:rPr>
        <w:rFonts w:ascii="Courier New" w:hAnsi="Courier New" w:cs="Courier New" w:hint="default"/>
      </w:rPr>
    </w:lvl>
    <w:lvl w:ilvl="2" w:tplc="40090005" w:tentative="1">
      <w:start w:val="1"/>
      <w:numFmt w:val="bullet"/>
      <w:lvlText w:val=""/>
      <w:lvlJc w:val="left"/>
      <w:pPr>
        <w:ind w:left="2494" w:hanging="360"/>
      </w:pPr>
      <w:rPr>
        <w:rFonts w:ascii="Wingdings" w:hAnsi="Wingdings" w:hint="default"/>
      </w:rPr>
    </w:lvl>
    <w:lvl w:ilvl="3" w:tplc="40090001" w:tentative="1">
      <w:start w:val="1"/>
      <w:numFmt w:val="bullet"/>
      <w:lvlText w:val=""/>
      <w:lvlJc w:val="left"/>
      <w:pPr>
        <w:ind w:left="3214" w:hanging="360"/>
      </w:pPr>
      <w:rPr>
        <w:rFonts w:ascii="Symbol" w:hAnsi="Symbol" w:hint="default"/>
      </w:rPr>
    </w:lvl>
    <w:lvl w:ilvl="4" w:tplc="40090003" w:tentative="1">
      <w:start w:val="1"/>
      <w:numFmt w:val="bullet"/>
      <w:lvlText w:val="o"/>
      <w:lvlJc w:val="left"/>
      <w:pPr>
        <w:ind w:left="3934" w:hanging="360"/>
      </w:pPr>
      <w:rPr>
        <w:rFonts w:ascii="Courier New" w:hAnsi="Courier New" w:cs="Courier New" w:hint="default"/>
      </w:rPr>
    </w:lvl>
    <w:lvl w:ilvl="5" w:tplc="40090005" w:tentative="1">
      <w:start w:val="1"/>
      <w:numFmt w:val="bullet"/>
      <w:lvlText w:val=""/>
      <w:lvlJc w:val="left"/>
      <w:pPr>
        <w:ind w:left="4654" w:hanging="360"/>
      </w:pPr>
      <w:rPr>
        <w:rFonts w:ascii="Wingdings" w:hAnsi="Wingdings" w:hint="default"/>
      </w:rPr>
    </w:lvl>
    <w:lvl w:ilvl="6" w:tplc="40090001" w:tentative="1">
      <w:start w:val="1"/>
      <w:numFmt w:val="bullet"/>
      <w:lvlText w:val=""/>
      <w:lvlJc w:val="left"/>
      <w:pPr>
        <w:ind w:left="5374" w:hanging="360"/>
      </w:pPr>
      <w:rPr>
        <w:rFonts w:ascii="Symbol" w:hAnsi="Symbol" w:hint="default"/>
      </w:rPr>
    </w:lvl>
    <w:lvl w:ilvl="7" w:tplc="40090003" w:tentative="1">
      <w:start w:val="1"/>
      <w:numFmt w:val="bullet"/>
      <w:lvlText w:val="o"/>
      <w:lvlJc w:val="left"/>
      <w:pPr>
        <w:ind w:left="6094" w:hanging="360"/>
      </w:pPr>
      <w:rPr>
        <w:rFonts w:ascii="Courier New" w:hAnsi="Courier New" w:cs="Courier New" w:hint="default"/>
      </w:rPr>
    </w:lvl>
    <w:lvl w:ilvl="8" w:tplc="40090005" w:tentative="1">
      <w:start w:val="1"/>
      <w:numFmt w:val="bullet"/>
      <w:lvlText w:val=""/>
      <w:lvlJc w:val="left"/>
      <w:pPr>
        <w:ind w:left="6814" w:hanging="360"/>
      </w:pPr>
      <w:rPr>
        <w:rFonts w:ascii="Wingdings" w:hAnsi="Wingdings" w:hint="default"/>
      </w:rPr>
    </w:lvl>
  </w:abstractNum>
  <w:abstractNum w:abstractNumId="2" w15:restartNumberingAfterBreak="0">
    <w:nsid w:val="31147B21"/>
    <w:multiLevelType w:val="hybridMultilevel"/>
    <w:tmpl w:val="0E54FE34"/>
    <w:lvl w:ilvl="0" w:tplc="9F42345C">
      <w:start w:val="1"/>
      <w:numFmt w:val="decimal"/>
      <w:lvlText w:val="%1."/>
      <w:lvlJc w:val="left"/>
      <w:pPr>
        <w:ind w:left="686" w:hanging="520"/>
      </w:pPr>
      <w:rPr>
        <w:rFonts w:ascii="Courier New" w:eastAsia="Courier New" w:hAnsi="Courier New" w:cs="Courier New" w:hint="default"/>
        <w:b w:val="0"/>
        <w:bCs w:val="0"/>
        <w:i w:val="0"/>
        <w:iCs w:val="0"/>
        <w:spacing w:val="0"/>
        <w:w w:val="99"/>
        <w:sz w:val="24"/>
        <w:szCs w:val="24"/>
        <w:u w:val="single" w:color="000000"/>
        <w:lang w:val="en-US" w:eastAsia="en-US" w:bidi="ar-SA"/>
      </w:rPr>
    </w:lvl>
    <w:lvl w:ilvl="1" w:tplc="2EB2C6F4">
      <w:numFmt w:val="bullet"/>
      <w:lvlText w:val="•"/>
      <w:lvlJc w:val="left"/>
      <w:pPr>
        <w:ind w:left="1654" w:hanging="520"/>
      </w:pPr>
      <w:rPr>
        <w:rFonts w:hint="default"/>
        <w:lang w:val="en-US" w:eastAsia="en-US" w:bidi="ar-SA"/>
      </w:rPr>
    </w:lvl>
    <w:lvl w:ilvl="2" w:tplc="0EA419B2">
      <w:numFmt w:val="bullet"/>
      <w:lvlText w:val="•"/>
      <w:lvlJc w:val="left"/>
      <w:pPr>
        <w:ind w:left="2629" w:hanging="520"/>
      </w:pPr>
      <w:rPr>
        <w:rFonts w:hint="default"/>
        <w:lang w:val="en-US" w:eastAsia="en-US" w:bidi="ar-SA"/>
      </w:rPr>
    </w:lvl>
    <w:lvl w:ilvl="3" w:tplc="03A29BFA">
      <w:numFmt w:val="bullet"/>
      <w:lvlText w:val="•"/>
      <w:lvlJc w:val="left"/>
      <w:pPr>
        <w:ind w:left="3603" w:hanging="520"/>
      </w:pPr>
      <w:rPr>
        <w:rFonts w:hint="default"/>
        <w:lang w:val="en-US" w:eastAsia="en-US" w:bidi="ar-SA"/>
      </w:rPr>
    </w:lvl>
    <w:lvl w:ilvl="4" w:tplc="5D62DAAC">
      <w:numFmt w:val="bullet"/>
      <w:lvlText w:val="•"/>
      <w:lvlJc w:val="left"/>
      <w:pPr>
        <w:ind w:left="4578" w:hanging="520"/>
      </w:pPr>
      <w:rPr>
        <w:rFonts w:hint="default"/>
        <w:lang w:val="en-US" w:eastAsia="en-US" w:bidi="ar-SA"/>
      </w:rPr>
    </w:lvl>
    <w:lvl w:ilvl="5" w:tplc="9216B9F4">
      <w:numFmt w:val="bullet"/>
      <w:lvlText w:val="•"/>
      <w:lvlJc w:val="left"/>
      <w:pPr>
        <w:ind w:left="5552" w:hanging="520"/>
      </w:pPr>
      <w:rPr>
        <w:rFonts w:hint="default"/>
        <w:lang w:val="en-US" w:eastAsia="en-US" w:bidi="ar-SA"/>
      </w:rPr>
    </w:lvl>
    <w:lvl w:ilvl="6" w:tplc="730AD018">
      <w:numFmt w:val="bullet"/>
      <w:lvlText w:val="•"/>
      <w:lvlJc w:val="left"/>
      <w:pPr>
        <w:ind w:left="6527" w:hanging="520"/>
      </w:pPr>
      <w:rPr>
        <w:rFonts w:hint="default"/>
        <w:lang w:val="en-US" w:eastAsia="en-US" w:bidi="ar-SA"/>
      </w:rPr>
    </w:lvl>
    <w:lvl w:ilvl="7" w:tplc="B8201206">
      <w:numFmt w:val="bullet"/>
      <w:lvlText w:val="•"/>
      <w:lvlJc w:val="left"/>
      <w:pPr>
        <w:ind w:left="7501" w:hanging="520"/>
      </w:pPr>
      <w:rPr>
        <w:rFonts w:hint="default"/>
        <w:lang w:val="en-US" w:eastAsia="en-US" w:bidi="ar-SA"/>
      </w:rPr>
    </w:lvl>
    <w:lvl w:ilvl="8" w:tplc="D5C20B34">
      <w:numFmt w:val="bullet"/>
      <w:lvlText w:val="•"/>
      <w:lvlJc w:val="left"/>
      <w:pPr>
        <w:ind w:left="8476" w:hanging="520"/>
      </w:pPr>
      <w:rPr>
        <w:rFonts w:hint="default"/>
        <w:lang w:val="en-US" w:eastAsia="en-US" w:bidi="ar-SA"/>
      </w:rPr>
    </w:lvl>
  </w:abstractNum>
  <w:abstractNum w:abstractNumId="3" w15:restartNumberingAfterBreak="0">
    <w:nsid w:val="601E185B"/>
    <w:multiLevelType w:val="hybridMultilevel"/>
    <w:tmpl w:val="32CAB8E0"/>
    <w:lvl w:ilvl="0" w:tplc="40090001">
      <w:start w:val="1"/>
      <w:numFmt w:val="bullet"/>
      <w:lvlText w:val=""/>
      <w:lvlJc w:val="left"/>
      <w:pPr>
        <w:ind w:left="1406" w:hanging="360"/>
      </w:pPr>
      <w:rPr>
        <w:rFonts w:ascii="Symbol" w:hAnsi="Symbol" w:hint="default"/>
      </w:rPr>
    </w:lvl>
    <w:lvl w:ilvl="1" w:tplc="40090003" w:tentative="1">
      <w:start w:val="1"/>
      <w:numFmt w:val="bullet"/>
      <w:lvlText w:val="o"/>
      <w:lvlJc w:val="left"/>
      <w:pPr>
        <w:ind w:left="2126" w:hanging="360"/>
      </w:pPr>
      <w:rPr>
        <w:rFonts w:ascii="Courier New" w:hAnsi="Courier New" w:cs="Courier New" w:hint="default"/>
      </w:rPr>
    </w:lvl>
    <w:lvl w:ilvl="2" w:tplc="40090005" w:tentative="1">
      <w:start w:val="1"/>
      <w:numFmt w:val="bullet"/>
      <w:lvlText w:val=""/>
      <w:lvlJc w:val="left"/>
      <w:pPr>
        <w:ind w:left="2846" w:hanging="360"/>
      </w:pPr>
      <w:rPr>
        <w:rFonts w:ascii="Wingdings" w:hAnsi="Wingdings" w:hint="default"/>
      </w:rPr>
    </w:lvl>
    <w:lvl w:ilvl="3" w:tplc="40090001" w:tentative="1">
      <w:start w:val="1"/>
      <w:numFmt w:val="bullet"/>
      <w:lvlText w:val=""/>
      <w:lvlJc w:val="left"/>
      <w:pPr>
        <w:ind w:left="3566" w:hanging="360"/>
      </w:pPr>
      <w:rPr>
        <w:rFonts w:ascii="Symbol" w:hAnsi="Symbol" w:hint="default"/>
      </w:rPr>
    </w:lvl>
    <w:lvl w:ilvl="4" w:tplc="40090003" w:tentative="1">
      <w:start w:val="1"/>
      <w:numFmt w:val="bullet"/>
      <w:lvlText w:val="o"/>
      <w:lvlJc w:val="left"/>
      <w:pPr>
        <w:ind w:left="4286" w:hanging="360"/>
      </w:pPr>
      <w:rPr>
        <w:rFonts w:ascii="Courier New" w:hAnsi="Courier New" w:cs="Courier New" w:hint="default"/>
      </w:rPr>
    </w:lvl>
    <w:lvl w:ilvl="5" w:tplc="40090005" w:tentative="1">
      <w:start w:val="1"/>
      <w:numFmt w:val="bullet"/>
      <w:lvlText w:val=""/>
      <w:lvlJc w:val="left"/>
      <w:pPr>
        <w:ind w:left="5006" w:hanging="360"/>
      </w:pPr>
      <w:rPr>
        <w:rFonts w:ascii="Wingdings" w:hAnsi="Wingdings" w:hint="default"/>
      </w:rPr>
    </w:lvl>
    <w:lvl w:ilvl="6" w:tplc="40090001" w:tentative="1">
      <w:start w:val="1"/>
      <w:numFmt w:val="bullet"/>
      <w:lvlText w:val=""/>
      <w:lvlJc w:val="left"/>
      <w:pPr>
        <w:ind w:left="5726" w:hanging="360"/>
      </w:pPr>
      <w:rPr>
        <w:rFonts w:ascii="Symbol" w:hAnsi="Symbol" w:hint="default"/>
      </w:rPr>
    </w:lvl>
    <w:lvl w:ilvl="7" w:tplc="40090003" w:tentative="1">
      <w:start w:val="1"/>
      <w:numFmt w:val="bullet"/>
      <w:lvlText w:val="o"/>
      <w:lvlJc w:val="left"/>
      <w:pPr>
        <w:ind w:left="6446" w:hanging="360"/>
      </w:pPr>
      <w:rPr>
        <w:rFonts w:ascii="Courier New" w:hAnsi="Courier New" w:cs="Courier New" w:hint="default"/>
      </w:rPr>
    </w:lvl>
    <w:lvl w:ilvl="8" w:tplc="40090005" w:tentative="1">
      <w:start w:val="1"/>
      <w:numFmt w:val="bullet"/>
      <w:lvlText w:val=""/>
      <w:lvlJc w:val="left"/>
      <w:pPr>
        <w:ind w:left="7166" w:hanging="360"/>
      </w:pPr>
      <w:rPr>
        <w:rFonts w:ascii="Wingdings" w:hAnsi="Wingdings" w:hint="default"/>
      </w:rPr>
    </w:lvl>
  </w:abstractNum>
  <w:abstractNum w:abstractNumId="4" w15:restartNumberingAfterBreak="0">
    <w:nsid w:val="64E44B27"/>
    <w:multiLevelType w:val="hybridMultilevel"/>
    <w:tmpl w:val="1E2CEAF0"/>
    <w:lvl w:ilvl="0" w:tplc="7C3C7CCA">
      <w:start w:val="1"/>
      <w:numFmt w:val="bullet"/>
      <w:lvlText w:val=""/>
      <w:lvlJc w:val="left"/>
      <w:pPr>
        <w:ind w:left="720" w:hanging="360"/>
      </w:pPr>
      <w:rPr>
        <w:rFonts w:ascii="Symbol" w:hAnsi="Symbol" w:hint="default"/>
        <w:color w:val="auto"/>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66407349"/>
    <w:multiLevelType w:val="hybridMultilevel"/>
    <w:tmpl w:val="31A02E12"/>
    <w:lvl w:ilvl="0" w:tplc="D1C61ECE">
      <w:start w:val="1"/>
      <w:numFmt w:val="decimal"/>
      <w:lvlText w:val="%1."/>
      <w:lvlJc w:val="left"/>
      <w:pPr>
        <w:ind w:left="110" w:hanging="432"/>
      </w:pPr>
      <w:rPr>
        <w:rFonts w:ascii="Courier New" w:eastAsia="Courier New" w:hAnsi="Courier New" w:cs="Courier New" w:hint="default"/>
        <w:b w:val="0"/>
        <w:bCs w:val="0"/>
        <w:i w:val="0"/>
        <w:iCs w:val="0"/>
        <w:spacing w:val="0"/>
        <w:w w:val="99"/>
        <w:sz w:val="24"/>
        <w:szCs w:val="24"/>
        <w:lang w:val="en-US" w:eastAsia="en-US" w:bidi="ar-SA"/>
      </w:rPr>
    </w:lvl>
    <w:lvl w:ilvl="1" w:tplc="1242B36C">
      <w:numFmt w:val="bullet"/>
      <w:lvlText w:val="•"/>
      <w:lvlJc w:val="left"/>
      <w:pPr>
        <w:ind w:left="1150" w:hanging="432"/>
      </w:pPr>
      <w:rPr>
        <w:rFonts w:hint="default"/>
        <w:lang w:val="en-US" w:eastAsia="en-US" w:bidi="ar-SA"/>
      </w:rPr>
    </w:lvl>
    <w:lvl w:ilvl="2" w:tplc="BCA0C53E">
      <w:numFmt w:val="bullet"/>
      <w:lvlText w:val="•"/>
      <w:lvlJc w:val="left"/>
      <w:pPr>
        <w:ind w:left="2181" w:hanging="432"/>
      </w:pPr>
      <w:rPr>
        <w:rFonts w:hint="default"/>
        <w:lang w:val="en-US" w:eastAsia="en-US" w:bidi="ar-SA"/>
      </w:rPr>
    </w:lvl>
    <w:lvl w:ilvl="3" w:tplc="87E0FCB4">
      <w:numFmt w:val="bullet"/>
      <w:lvlText w:val="•"/>
      <w:lvlJc w:val="left"/>
      <w:pPr>
        <w:ind w:left="3211" w:hanging="432"/>
      </w:pPr>
      <w:rPr>
        <w:rFonts w:hint="default"/>
        <w:lang w:val="en-US" w:eastAsia="en-US" w:bidi="ar-SA"/>
      </w:rPr>
    </w:lvl>
    <w:lvl w:ilvl="4" w:tplc="24CE61A2">
      <w:numFmt w:val="bullet"/>
      <w:lvlText w:val="•"/>
      <w:lvlJc w:val="left"/>
      <w:pPr>
        <w:ind w:left="4242" w:hanging="432"/>
      </w:pPr>
      <w:rPr>
        <w:rFonts w:hint="default"/>
        <w:lang w:val="en-US" w:eastAsia="en-US" w:bidi="ar-SA"/>
      </w:rPr>
    </w:lvl>
    <w:lvl w:ilvl="5" w:tplc="0A36039E">
      <w:numFmt w:val="bullet"/>
      <w:lvlText w:val="•"/>
      <w:lvlJc w:val="left"/>
      <w:pPr>
        <w:ind w:left="5272" w:hanging="432"/>
      </w:pPr>
      <w:rPr>
        <w:rFonts w:hint="default"/>
        <w:lang w:val="en-US" w:eastAsia="en-US" w:bidi="ar-SA"/>
      </w:rPr>
    </w:lvl>
    <w:lvl w:ilvl="6" w:tplc="2B9EDA8C">
      <w:numFmt w:val="bullet"/>
      <w:lvlText w:val="•"/>
      <w:lvlJc w:val="left"/>
      <w:pPr>
        <w:ind w:left="6303" w:hanging="432"/>
      </w:pPr>
      <w:rPr>
        <w:rFonts w:hint="default"/>
        <w:lang w:val="en-US" w:eastAsia="en-US" w:bidi="ar-SA"/>
      </w:rPr>
    </w:lvl>
    <w:lvl w:ilvl="7" w:tplc="E36C4392">
      <w:numFmt w:val="bullet"/>
      <w:lvlText w:val="•"/>
      <w:lvlJc w:val="left"/>
      <w:pPr>
        <w:ind w:left="7333" w:hanging="432"/>
      </w:pPr>
      <w:rPr>
        <w:rFonts w:hint="default"/>
        <w:lang w:val="en-US" w:eastAsia="en-US" w:bidi="ar-SA"/>
      </w:rPr>
    </w:lvl>
    <w:lvl w:ilvl="8" w:tplc="947CC4BA">
      <w:numFmt w:val="bullet"/>
      <w:lvlText w:val="•"/>
      <w:lvlJc w:val="left"/>
      <w:pPr>
        <w:ind w:left="8364" w:hanging="432"/>
      </w:pPr>
      <w:rPr>
        <w:rFonts w:hint="default"/>
        <w:lang w:val="en-US" w:eastAsia="en-US" w:bidi="ar-SA"/>
      </w:rPr>
    </w:lvl>
  </w:abstractNum>
  <w:num w:numId="1" w16cid:durableId="1108624562">
    <w:abstractNumId w:val="2"/>
  </w:num>
  <w:num w:numId="2" w16cid:durableId="1669820007">
    <w:abstractNumId w:val="5"/>
  </w:num>
  <w:num w:numId="3" w16cid:durableId="1423140012">
    <w:abstractNumId w:val="3"/>
  </w:num>
  <w:num w:numId="4" w16cid:durableId="2038845973">
    <w:abstractNumId w:val="0"/>
  </w:num>
  <w:num w:numId="5" w16cid:durableId="590088361">
    <w:abstractNumId w:val="4"/>
  </w:num>
  <w:num w:numId="6" w16cid:durableId="17875763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4AE5"/>
    <w:rsid w:val="0004102D"/>
    <w:rsid w:val="00070B74"/>
    <w:rsid w:val="000F5B8A"/>
    <w:rsid w:val="001031DF"/>
    <w:rsid w:val="0011790F"/>
    <w:rsid w:val="00146DC3"/>
    <w:rsid w:val="001D3968"/>
    <w:rsid w:val="002435D3"/>
    <w:rsid w:val="00286381"/>
    <w:rsid w:val="002A7AF7"/>
    <w:rsid w:val="002C5751"/>
    <w:rsid w:val="003A1F9B"/>
    <w:rsid w:val="003F2B5A"/>
    <w:rsid w:val="004A5FCE"/>
    <w:rsid w:val="004C6042"/>
    <w:rsid w:val="0050288E"/>
    <w:rsid w:val="00520014"/>
    <w:rsid w:val="00525816"/>
    <w:rsid w:val="0060193F"/>
    <w:rsid w:val="00602DF9"/>
    <w:rsid w:val="0061054E"/>
    <w:rsid w:val="00610B0C"/>
    <w:rsid w:val="006B5263"/>
    <w:rsid w:val="006C618F"/>
    <w:rsid w:val="006D409E"/>
    <w:rsid w:val="00724AE5"/>
    <w:rsid w:val="00756B5C"/>
    <w:rsid w:val="0077726F"/>
    <w:rsid w:val="007B5ECF"/>
    <w:rsid w:val="0087467C"/>
    <w:rsid w:val="008920F9"/>
    <w:rsid w:val="00992DEE"/>
    <w:rsid w:val="009B026E"/>
    <w:rsid w:val="009F46F2"/>
    <w:rsid w:val="00B10BAC"/>
    <w:rsid w:val="00B17446"/>
    <w:rsid w:val="00B4070C"/>
    <w:rsid w:val="00B505F3"/>
    <w:rsid w:val="00C136E3"/>
    <w:rsid w:val="00C14354"/>
    <w:rsid w:val="00C43183"/>
    <w:rsid w:val="00C87F4C"/>
    <w:rsid w:val="00CE2AF4"/>
    <w:rsid w:val="00CF5143"/>
    <w:rsid w:val="00E63D56"/>
    <w:rsid w:val="00EA48D0"/>
    <w:rsid w:val="00EE7E4A"/>
    <w:rsid w:val="00EF64FA"/>
    <w:rsid w:val="00F102B3"/>
    <w:rsid w:val="00F6462C"/>
    <w:rsid w:val="00FB073E"/>
  </w:rsids>
  <m:mathPr>
    <m:mathFont m:val="Cambria Math"/>
    <m:brkBin m:val="before"/>
    <m:brkBinSub m:val="--"/>
    <m:smallFrac m:val="0"/>
    <m:dispDef/>
    <m:lMargin m:val="0"/>
    <m:rMargin m:val="0"/>
    <m:defJc m:val="centerGroup"/>
    <m:wrapIndent m:val="1440"/>
    <m:intLim m:val="subSup"/>
    <m:naryLim m:val="undOvr"/>
  </m:mathPr>
  <w:themeFontLang w:val="en-IN"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98E87F"/>
  <w15:docId w15:val="{6DCF1D4E-2482-4649-8351-DC93CF4AB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ourier New" w:eastAsia="Courier New" w:hAnsi="Courier New" w:cs="Courier New"/>
    </w:rPr>
  </w:style>
  <w:style w:type="paragraph" w:styleId="Heading1">
    <w:name w:val="heading 1"/>
    <w:basedOn w:val="Normal"/>
    <w:uiPriority w:val="9"/>
    <w:qFormat/>
    <w:pPr>
      <w:ind w:left="110"/>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10"/>
    </w:pPr>
    <w:rPr>
      <w:sz w:val="24"/>
      <w:szCs w:val="24"/>
    </w:rPr>
  </w:style>
  <w:style w:type="paragraph" w:styleId="Title">
    <w:name w:val="Title"/>
    <w:basedOn w:val="Normal"/>
    <w:uiPriority w:val="10"/>
    <w:qFormat/>
    <w:pPr>
      <w:ind w:left="110" w:right="233"/>
    </w:pPr>
    <w:rPr>
      <w:b/>
      <w:bCs/>
      <w:sz w:val="32"/>
      <w:szCs w:val="32"/>
    </w:rPr>
  </w:style>
  <w:style w:type="paragraph" w:styleId="ListParagraph">
    <w:name w:val="List Paragraph"/>
    <w:basedOn w:val="Normal"/>
    <w:uiPriority w:val="1"/>
    <w:qFormat/>
    <w:pPr>
      <w:ind w:left="110" w:right="377" w:hanging="520"/>
    </w:pPr>
  </w:style>
  <w:style w:type="paragraph" w:customStyle="1" w:styleId="TableParagraph">
    <w:name w:val="Table Paragraph"/>
    <w:basedOn w:val="Normal"/>
    <w:uiPriority w:val="1"/>
    <w:qFormat/>
    <w:pPr>
      <w:spacing w:before="23"/>
      <w:ind w:left="15"/>
    </w:pPr>
  </w:style>
  <w:style w:type="paragraph" w:styleId="Header">
    <w:name w:val="header"/>
    <w:basedOn w:val="Normal"/>
    <w:link w:val="HeaderChar"/>
    <w:uiPriority w:val="99"/>
    <w:unhideWhenUsed/>
    <w:rsid w:val="0050288E"/>
    <w:pPr>
      <w:tabs>
        <w:tab w:val="center" w:pos="4513"/>
        <w:tab w:val="right" w:pos="9026"/>
      </w:tabs>
    </w:pPr>
  </w:style>
  <w:style w:type="character" w:customStyle="1" w:styleId="HeaderChar">
    <w:name w:val="Header Char"/>
    <w:basedOn w:val="DefaultParagraphFont"/>
    <w:link w:val="Header"/>
    <w:uiPriority w:val="99"/>
    <w:rsid w:val="0050288E"/>
    <w:rPr>
      <w:rFonts w:ascii="Courier New" w:eastAsia="Courier New" w:hAnsi="Courier New" w:cs="Courier New"/>
    </w:rPr>
  </w:style>
  <w:style w:type="paragraph" w:styleId="Footer">
    <w:name w:val="footer"/>
    <w:basedOn w:val="Normal"/>
    <w:link w:val="FooterChar"/>
    <w:uiPriority w:val="99"/>
    <w:unhideWhenUsed/>
    <w:rsid w:val="0050288E"/>
    <w:pPr>
      <w:tabs>
        <w:tab w:val="center" w:pos="4513"/>
        <w:tab w:val="right" w:pos="9026"/>
      </w:tabs>
    </w:pPr>
  </w:style>
  <w:style w:type="character" w:customStyle="1" w:styleId="FooterChar">
    <w:name w:val="Footer Char"/>
    <w:basedOn w:val="DefaultParagraphFont"/>
    <w:link w:val="Footer"/>
    <w:uiPriority w:val="99"/>
    <w:rsid w:val="0050288E"/>
    <w:rPr>
      <w:rFonts w:ascii="Courier New" w:eastAsia="Courier New" w:hAnsi="Courier New" w:cs="Courier New"/>
    </w:rPr>
  </w:style>
  <w:style w:type="character" w:styleId="Hyperlink">
    <w:name w:val="Hyperlink"/>
    <w:basedOn w:val="DefaultParagraphFont"/>
    <w:uiPriority w:val="99"/>
    <w:unhideWhenUsed/>
    <w:rsid w:val="00F6462C"/>
    <w:rPr>
      <w:color w:val="0000FF" w:themeColor="hyperlink"/>
      <w:u w:val="single"/>
    </w:rPr>
  </w:style>
  <w:style w:type="character" w:styleId="UnresolvedMention">
    <w:name w:val="Unresolved Mention"/>
    <w:basedOn w:val="DefaultParagraphFont"/>
    <w:uiPriority w:val="99"/>
    <w:semiHidden/>
    <w:unhideWhenUsed/>
    <w:rsid w:val="00F646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Graham.White@health.sa.gov.a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health.gov.au/" TargetMode="Externa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9B9BEA-63AB-46EF-B73B-28EB34D3F8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213</TotalTime>
  <Pages>10</Pages>
  <Words>4322</Words>
  <Characters>24636</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Hitchhiker's Guide to Measurement Uncertainty (MU) in Clinical Laboratories - Westgard QC</vt:lpstr>
    </vt:vector>
  </TitlesOfParts>
  <Company/>
  <LinksUpToDate>false</LinksUpToDate>
  <CharactersWithSpaces>28901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Hitchhiker's Guide to Measurement Uncertainty (MU) in Clinical Laboratories - Westgard QC</dc:title>
  <dc:creator>Admin</dc:creator>
  <cp:lastModifiedBy>Admin</cp:lastModifiedBy>
  <cp:revision>41</cp:revision>
  <cp:lastPrinted>2024-12-05T22:56:00Z</cp:lastPrinted>
  <dcterms:created xsi:type="dcterms:W3CDTF">2024-12-05T20:06:00Z</dcterms:created>
  <dcterms:modified xsi:type="dcterms:W3CDTF">2025-05-05T07:08:00Z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2014-10-11T00:00:00Z</vt:filetime>
  </property>
  <property fmtid="{D5CDD505-2E9C-101B-9397-08002B2CF9AE}" pid="3" name="Creator">
    <vt:lpwstr>Phoca PDF</vt:lpwstr>
  </property>
  <property fmtid="{D5CDD505-2E9C-101B-9397-08002B2CF9AE}" pid="4" name="LastSaved">
    <vt:filetime>2024-12-05T00:00:00Z</vt:filetime>
  </property>
  <property fmtid="{D5CDD505-2E9C-101B-9397-08002B2CF9AE}" pid="5" name="Producer">
    <vt:lpwstr>TCPDF 5.9.009 (http://www.tcpdf.org) (TCPDF)</vt:lpwstr>
  </property>
</Properties>
</file>