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D9765" w14:textId="69048DA0" w:rsidR="00B85AE8" w:rsidRPr="00D629F8" w:rsidRDefault="008931EC" w:rsidP="00D629F8">
      <w:pPr>
        <w:spacing w:before="40" w:after="0"/>
        <w:rPr>
          <w:sz w:val="2"/>
          <w:szCs w:val="2"/>
        </w:rPr>
      </w:pPr>
      <w:r>
        <w:rPr>
          <w:b/>
          <w:bCs/>
          <w:noProof/>
          <w:color w:val="FFFFFF"/>
          <w:sz w:val="28"/>
          <w:szCs w:val="28"/>
          <w:lang w:val="es"/>
        </w:rPr>
        <w:drawing>
          <wp:anchor distT="0" distB="0" distL="114300" distR="114300" simplePos="0" relativeHeight="251658239" behindDoc="1" locked="0" layoutInCell="1" allowOverlap="1" wp14:anchorId="6A194346" wp14:editId="42C95F98">
            <wp:simplePos x="0" y="0"/>
            <wp:positionH relativeFrom="column">
              <wp:posOffset>-70485</wp:posOffset>
            </wp:positionH>
            <wp:positionV relativeFrom="paragraph">
              <wp:posOffset>-70485</wp:posOffset>
            </wp:positionV>
            <wp:extent cx="9890760" cy="6829425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0760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8"/>
        <w:gridCol w:w="9612"/>
      </w:tblGrid>
      <w:tr w:rsidR="00D629F8" w:rsidRPr="003419A0" w14:paraId="34101328" w14:textId="77777777" w:rsidTr="00465E4B">
        <w:trPr>
          <w:trHeight w:val="558"/>
        </w:trPr>
        <w:tc>
          <w:tcPr>
            <w:tcW w:w="5418" w:type="dxa"/>
          </w:tcPr>
          <w:p w14:paraId="053CD809" w14:textId="21DDA7A7" w:rsidR="00D629F8" w:rsidRPr="003419A0" w:rsidRDefault="00D629F8" w:rsidP="00D629F8">
            <w:pPr>
              <w:spacing w:before="20" w:line="220" w:lineRule="exact"/>
              <w:rPr>
                <w:sz w:val="24"/>
                <w:szCs w:val="24"/>
                <w:lang w:val="es-ES"/>
              </w:rPr>
            </w:pPr>
            <w:r w:rsidRPr="003419A0">
              <w:rPr>
                <w:sz w:val="24"/>
                <w:szCs w:val="24"/>
                <w:lang w:val="es"/>
              </w:rPr>
              <w:t xml:space="preserve">Ayuda de trabajo 3: Incertidumbre diagnóstica </w:t>
            </w:r>
            <w:r w:rsidRPr="003419A0">
              <w:rPr>
                <w:sz w:val="24"/>
                <w:szCs w:val="24"/>
                <w:vertAlign w:val="superscript"/>
                <w:lang w:val="es"/>
              </w:rPr>
              <w:t>1507v2</w:t>
            </w:r>
          </w:p>
        </w:tc>
        <w:tc>
          <w:tcPr>
            <w:tcW w:w="9612" w:type="dxa"/>
          </w:tcPr>
          <w:p w14:paraId="0A387C95" w14:textId="40848C4A" w:rsidR="00D629F8" w:rsidRPr="003419A0" w:rsidRDefault="00D629F8" w:rsidP="00D8141A">
            <w:pPr>
              <w:pStyle w:val="Default"/>
              <w:spacing w:line="216" w:lineRule="auto"/>
              <w:ind w:left="120"/>
              <w:rPr>
                <w:lang w:val="es-ES"/>
              </w:rPr>
            </w:pPr>
            <w:r w:rsidRPr="003419A0">
              <w:rPr>
                <w:lang w:val="es"/>
              </w:rPr>
              <w:t>La utilidad médica de las pruebas de laboratorio está limitada por la variación que surge de cualquier fuente, incluida la variación biológica y la variación analítica (error de medición).</w:t>
            </w:r>
          </w:p>
        </w:tc>
      </w:tr>
    </w:tbl>
    <w:p w14:paraId="7D4AE410" w14:textId="209623B5" w:rsidR="00D629F8" w:rsidRPr="003419A0" w:rsidRDefault="003419A0" w:rsidP="00D629F8">
      <w:pPr>
        <w:spacing w:before="40" w:after="0"/>
        <w:rPr>
          <w:sz w:val="2"/>
          <w:szCs w:val="2"/>
          <w:lang w:val="es-ES"/>
        </w:rPr>
      </w:pPr>
      <w:r>
        <w:rPr>
          <w:noProof/>
          <w:sz w:val="2"/>
          <w:szCs w:val="2"/>
          <w:lang w:val="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73DEF0" wp14:editId="1BD149CC">
                <wp:simplePos x="0" y="0"/>
                <wp:positionH relativeFrom="column">
                  <wp:posOffset>8863965</wp:posOffset>
                </wp:positionH>
                <wp:positionV relativeFrom="paragraph">
                  <wp:posOffset>2276475</wp:posOffset>
                </wp:positionV>
                <wp:extent cx="920750" cy="6286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75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E7129" w14:textId="1887C635" w:rsidR="00D33412" w:rsidRPr="003419A0" w:rsidRDefault="00D33412" w:rsidP="00D33412">
                            <w:pPr>
                              <w:spacing w:after="0" w:line="228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3419A0">
                              <w:rPr>
                                <w:b/>
                                <w:bCs/>
                                <w:sz w:val="20"/>
                                <w:szCs w:val="20"/>
                                <w:lang w:val="es"/>
                              </w:rPr>
                              <w:t>Incertidumbre diagnóstica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3DEF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97.95pt;margin-top:179.25pt;width:72.5pt;height:4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" filled="f" stroked="f" strokeweight=".5pt">
                <v:textbox>
                  <w:txbxContent>
                    <w:p w14:paraId="6B6E7129" w14:textId="1887C635" w:rsidR="00D33412" w:rsidRPr="003419A0" w:rsidRDefault="00D33412" w:rsidP="00D33412">
                      <w:pPr>
                        <w:spacing w:after="0" w:line="228" w:lineRule="auto"/>
                        <w:rPr>
                          <w:sz w:val="20"/>
                          <w:szCs w:val="20"/>
                        </w:rPr>
                      </w:pPr>
                      <w:r w:rsidRPr="003419A0">
                        <w:rPr>
                          <w:b/>
                          <w:bCs/>
                          <w:sz w:val="20"/>
                          <w:szCs w:val="20"/>
                          <w:lang w:val="es"/>
                        </w:rPr>
                        <w:t>Incertidumbre diagnóstica</w:t>
                      </w:r>
                    </w:p>
                  </w:txbxContent>
                </v:textbox>
              </v:shape>
            </w:pict>
          </mc:Fallback>
        </mc:AlternateContent>
      </w:r>
      <w:r w:rsidR="00F7641E">
        <w:rPr>
          <w:noProof/>
          <w:sz w:val="2"/>
          <w:szCs w:val="2"/>
          <w:lang w:val="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08977A" wp14:editId="03E83449">
                <wp:simplePos x="0" y="0"/>
                <wp:positionH relativeFrom="column">
                  <wp:posOffset>-60960</wp:posOffset>
                </wp:positionH>
                <wp:positionV relativeFrom="paragraph">
                  <wp:posOffset>2112011</wp:posOffset>
                </wp:positionV>
                <wp:extent cx="927100" cy="7048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704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830CE3" w14:textId="2412DECD" w:rsidR="00A523AE" w:rsidRPr="003419A0" w:rsidRDefault="00A523AE" w:rsidP="00F7641E">
                            <w:pPr>
                              <w:autoSpaceDE w:val="0"/>
                              <w:autoSpaceDN w:val="0"/>
                              <w:adjustRightInd w:val="0"/>
                              <w:spacing w:after="0" w:line="25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3419A0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s"/>
                              </w:rPr>
                              <w:t>Variación biológica CV</w:t>
                            </w:r>
                            <w:r w:rsidRPr="003419A0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vertAlign w:val="subscript"/>
                                <w:lang w:val="es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8977A" id="Text Box 1" o:spid="_x0000_s1027" type="#_x0000_t202" style="position:absolute;margin-left:-4.8pt;margin-top:166.3pt;width:73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" filled="f" stroked="f" strokeweight=".5pt">
                <v:textbox>
                  <w:txbxContent>
                    <w:p w14:paraId="28830CE3" w14:textId="2412DECD" w:rsidR="00A523AE" w:rsidRPr="003419A0" w:rsidRDefault="00A523AE" w:rsidP="00F7641E">
                      <w:pPr>
                        <w:autoSpaceDE w:val="0"/>
                        <w:autoSpaceDN w:val="0"/>
                        <w:adjustRightInd w:val="0"/>
                        <w:spacing w:after="0" w:line="250" w:lineRule="auto"/>
                        <w:rPr>
                          <w:sz w:val="20"/>
                          <w:szCs w:val="20"/>
                        </w:rPr>
                      </w:pPr>
                      <w:r w:rsidRPr="003419A0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  <w:lang w:val="es"/>
                        </w:rPr>
                        <w:t>Variación biológica CV</w:t>
                      </w:r>
                      <w:r w:rsidRPr="003419A0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  <w:vertAlign w:val="subscript"/>
                          <w:lang w:val="es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1678" w:type="dxa"/>
        <w:tblBorders>
          <w:top w:val="none" w:sz="0" w:space="0" w:color="auto"/>
          <w:left w:val="none" w:sz="0" w:space="0" w:color="auto"/>
          <w:bottom w:val="single" w:sz="4" w:space="0" w:color="FFFFFF" w:themeColor="background1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7"/>
        <w:gridCol w:w="3741"/>
        <w:gridCol w:w="3819"/>
      </w:tblGrid>
      <w:tr w:rsidR="00327A55" w:rsidRPr="003419A0" w14:paraId="450DBB50" w14:textId="77777777" w:rsidTr="001C0C9A">
        <w:trPr>
          <w:trHeight w:val="1107"/>
        </w:trPr>
        <w:tc>
          <w:tcPr>
            <w:tcW w:w="11457" w:type="dxa"/>
            <w:gridSpan w:val="3"/>
            <w:tcBorders>
              <w:right w:val="single" w:sz="4" w:space="0" w:color="FFFFFF" w:themeColor="background1"/>
            </w:tcBorders>
            <w:shd w:val="clear" w:color="auto" w:fill="auto"/>
          </w:tcPr>
          <w:p w14:paraId="67997712" w14:textId="35C1C1C8" w:rsidR="00327A55" w:rsidRPr="003419A0" w:rsidRDefault="00327A55" w:rsidP="00327A55">
            <w:pPr>
              <w:pStyle w:val="Default"/>
              <w:spacing w:before="60"/>
              <w:jc w:val="center"/>
              <w:rPr>
                <w:color w:val="FFFFFF"/>
                <w:sz w:val="26"/>
                <w:szCs w:val="26"/>
                <w:lang w:val="es-ES"/>
              </w:rPr>
            </w:pPr>
            <w:r w:rsidRPr="003419A0">
              <w:rPr>
                <w:b/>
                <w:bCs/>
                <w:color w:val="FFFFFF"/>
                <w:sz w:val="26"/>
                <w:szCs w:val="26"/>
                <w:lang w:val="es"/>
              </w:rPr>
              <w:t>Fuentes de incertidumbre en el proceso de trabajo</w:t>
            </w:r>
          </w:p>
          <w:p w14:paraId="73CAC5A8" w14:textId="6533F530" w:rsidR="00327A55" w:rsidRPr="003419A0" w:rsidRDefault="00327A55" w:rsidP="00A61C15">
            <w:pPr>
              <w:ind w:left="198" w:right="205"/>
              <w:jc w:val="center"/>
              <w:rPr>
                <w:sz w:val="26"/>
                <w:szCs w:val="26"/>
                <w:lang w:val="es-ES"/>
              </w:rPr>
            </w:pPr>
            <w:r w:rsidRPr="003419A0">
              <w:rPr>
                <w:b/>
                <w:bCs/>
                <w:color w:val="FFFFFF"/>
                <w:sz w:val="26"/>
                <w:szCs w:val="26"/>
                <w:lang w:val="es"/>
              </w:rPr>
              <w:t>Deben establecerse procesos de planificación de la calidad y de mejora continua de la calidad para detectar y minimizar estas fuentes en todo el proceso de trabajo.</w:t>
            </w:r>
          </w:p>
        </w:tc>
      </w:tr>
      <w:tr w:rsidR="00B85E61" w:rsidRPr="003419A0" w14:paraId="00B2C1CC" w14:textId="77777777" w:rsidTr="00EF2E61">
        <w:trPr>
          <w:trHeight w:val="72"/>
        </w:trPr>
        <w:tc>
          <w:tcPr>
            <w:tcW w:w="11457" w:type="dxa"/>
            <w:gridSpan w:val="3"/>
            <w:tcBorders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518544F1" w14:textId="77777777" w:rsidR="00B85E61" w:rsidRPr="003419A0" w:rsidRDefault="00B85E61" w:rsidP="00B85E61">
            <w:pPr>
              <w:pStyle w:val="Default"/>
              <w:rPr>
                <w:b/>
                <w:bCs/>
                <w:color w:val="FFFFFF"/>
                <w:sz w:val="2"/>
                <w:szCs w:val="2"/>
                <w:lang w:val="es-ES"/>
              </w:rPr>
            </w:pPr>
          </w:p>
        </w:tc>
      </w:tr>
      <w:tr w:rsidR="00CF323D" w14:paraId="0556199D" w14:textId="77777777" w:rsidTr="00EF2E61">
        <w:trPr>
          <w:trHeight w:val="540"/>
        </w:trPr>
        <w:tc>
          <w:tcPr>
            <w:tcW w:w="3897" w:type="dxa"/>
            <w:tcBorders>
              <w:bottom w:val="nil"/>
              <w:right w:val="nil"/>
            </w:tcBorders>
            <w:shd w:val="clear" w:color="auto" w:fill="auto"/>
          </w:tcPr>
          <w:p w14:paraId="526F1882" w14:textId="5B573909" w:rsidR="00327A55" w:rsidRPr="003419A0" w:rsidRDefault="00B85E61" w:rsidP="00B85E61">
            <w:pPr>
              <w:pStyle w:val="Default"/>
              <w:spacing w:before="20"/>
              <w:ind w:left="126"/>
              <w:rPr>
                <w:sz w:val="26"/>
                <w:szCs w:val="26"/>
              </w:rPr>
            </w:pPr>
            <w:r w:rsidRPr="003419A0">
              <w:rPr>
                <w:b/>
                <w:bCs/>
                <w:color w:val="FFFFFF"/>
                <w:sz w:val="26"/>
                <w:szCs w:val="26"/>
                <w:lang w:val="es"/>
              </w:rPr>
              <w:t xml:space="preserve">Antes del examen </w:t>
            </w:r>
          </w:p>
        </w:tc>
        <w:tc>
          <w:tcPr>
            <w:tcW w:w="374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B0C0AF9" w14:textId="511FDDBD" w:rsidR="00327A55" w:rsidRPr="003419A0" w:rsidRDefault="00547970" w:rsidP="00547970">
            <w:pPr>
              <w:pStyle w:val="Default"/>
              <w:spacing w:before="20"/>
              <w:ind w:left="146"/>
              <w:rPr>
                <w:color w:val="FFFFFF"/>
                <w:sz w:val="26"/>
                <w:szCs w:val="26"/>
              </w:rPr>
            </w:pPr>
            <w:r w:rsidRPr="003419A0">
              <w:rPr>
                <w:b/>
                <w:bCs/>
                <w:color w:val="FFFFFF"/>
                <w:sz w:val="26"/>
                <w:szCs w:val="26"/>
                <w:lang w:val="es"/>
              </w:rPr>
              <w:t xml:space="preserve">Examen </w:t>
            </w:r>
          </w:p>
        </w:tc>
        <w:tc>
          <w:tcPr>
            <w:tcW w:w="381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A81EC62" w14:textId="6522C745" w:rsidR="00327A55" w:rsidRPr="003419A0" w:rsidRDefault="00696F0A" w:rsidP="00696F0A">
            <w:pPr>
              <w:pStyle w:val="Default"/>
              <w:spacing w:before="20"/>
              <w:ind w:left="153"/>
              <w:rPr>
                <w:sz w:val="26"/>
                <w:szCs w:val="26"/>
              </w:rPr>
            </w:pPr>
            <w:r w:rsidRPr="003419A0">
              <w:rPr>
                <w:b/>
                <w:bCs/>
                <w:color w:val="FFFFFF"/>
                <w:sz w:val="26"/>
                <w:szCs w:val="26"/>
                <w:lang w:val="es"/>
              </w:rPr>
              <w:t xml:space="preserve">Después del examen </w:t>
            </w:r>
          </w:p>
        </w:tc>
      </w:tr>
      <w:tr w:rsidR="00CF323D" w14:paraId="509B680E" w14:textId="77777777" w:rsidTr="00EF2E61">
        <w:trPr>
          <w:trHeight w:val="818"/>
        </w:trPr>
        <w:tc>
          <w:tcPr>
            <w:tcW w:w="389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21B4AED" w14:textId="47DCF6A6" w:rsidR="00327A55" w:rsidRPr="003419A0" w:rsidRDefault="00DA6197" w:rsidP="00980C24">
            <w:pPr>
              <w:pStyle w:val="Default"/>
              <w:spacing w:before="60"/>
              <w:ind w:left="126"/>
              <w:rPr>
                <w:sz w:val="26"/>
                <w:szCs w:val="26"/>
              </w:rPr>
            </w:pPr>
            <w:r w:rsidRPr="003419A0">
              <w:rPr>
                <w:sz w:val="26"/>
                <w:szCs w:val="26"/>
                <w:lang w:val="es"/>
              </w:rPr>
              <w:t xml:space="preserve">Recolección de muestras 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160F75" w14:textId="6951CB17" w:rsidR="00327A55" w:rsidRPr="003419A0" w:rsidRDefault="00363E8A" w:rsidP="00980C24">
            <w:pPr>
              <w:pStyle w:val="Default"/>
              <w:spacing w:before="60"/>
              <w:ind w:left="128"/>
              <w:rPr>
                <w:sz w:val="26"/>
                <w:szCs w:val="26"/>
              </w:rPr>
            </w:pPr>
            <w:r w:rsidRPr="003419A0">
              <w:rPr>
                <w:sz w:val="26"/>
                <w:szCs w:val="26"/>
                <w:lang w:val="es"/>
              </w:rPr>
              <w:t>Almacenamiento/preparación de reactivos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5BDF8A" w14:textId="15E6339F" w:rsidR="00327A55" w:rsidRPr="003419A0" w:rsidRDefault="00A22C15" w:rsidP="00980C24">
            <w:pPr>
              <w:pStyle w:val="Default"/>
              <w:spacing w:before="60"/>
              <w:ind w:left="144"/>
              <w:rPr>
                <w:sz w:val="26"/>
                <w:szCs w:val="26"/>
              </w:rPr>
            </w:pPr>
            <w:r w:rsidRPr="003419A0">
              <w:rPr>
                <w:sz w:val="26"/>
                <w:szCs w:val="26"/>
                <w:lang w:val="es"/>
              </w:rPr>
              <w:t>Interpretación de los resultados</w:t>
            </w:r>
          </w:p>
        </w:tc>
      </w:tr>
      <w:tr w:rsidR="00CF323D" w14:paraId="111E955F" w14:textId="77777777" w:rsidTr="00EF2E61">
        <w:trPr>
          <w:trHeight w:val="791"/>
        </w:trPr>
        <w:tc>
          <w:tcPr>
            <w:tcW w:w="389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3C5E282" w14:textId="647C8F04" w:rsidR="00327A55" w:rsidRPr="003419A0" w:rsidRDefault="005F5AED" w:rsidP="00980C24">
            <w:pPr>
              <w:pStyle w:val="Default"/>
              <w:spacing w:before="60"/>
              <w:ind w:left="117"/>
              <w:rPr>
                <w:sz w:val="26"/>
                <w:szCs w:val="26"/>
              </w:rPr>
            </w:pPr>
            <w:r w:rsidRPr="003419A0">
              <w:rPr>
                <w:sz w:val="26"/>
                <w:szCs w:val="26"/>
                <w:lang w:val="es"/>
              </w:rPr>
              <w:t>Almacenamiento/transporte de muestras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8F3CF0" w14:textId="46406C1F" w:rsidR="00327A55" w:rsidRPr="003419A0" w:rsidRDefault="00DD3195" w:rsidP="00980C24">
            <w:pPr>
              <w:pStyle w:val="Default"/>
              <w:spacing w:before="60"/>
              <w:ind w:left="128"/>
              <w:rPr>
                <w:sz w:val="26"/>
                <w:szCs w:val="26"/>
              </w:rPr>
            </w:pPr>
            <w:r w:rsidRPr="003419A0">
              <w:rPr>
                <w:sz w:val="26"/>
                <w:szCs w:val="26"/>
                <w:lang w:val="es"/>
              </w:rPr>
              <w:t>Rendimiento del instrumento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21A75D" w14:textId="436F52E1" w:rsidR="00327A55" w:rsidRPr="003419A0" w:rsidRDefault="00E83FD1" w:rsidP="00980C24">
            <w:pPr>
              <w:pStyle w:val="Default"/>
              <w:spacing w:before="60"/>
              <w:ind w:left="144"/>
              <w:rPr>
                <w:sz w:val="26"/>
                <w:szCs w:val="26"/>
              </w:rPr>
            </w:pPr>
            <w:r w:rsidRPr="003419A0">
              <w:rPr>
                <w:sz w:val="26"/>
                <w:szCs w:val="26"/>
                <w:lang w:val="es"/>
              </w:rPr>
              <w:t>Formato del informe</w:t>
            </w:r>
          </w:p>
        </w:tc>
      </w:tr>
      <w:tr w:rsidR="0064145B" w14:paraId="392F4DED" w14:textId="77777777" w:rsidTr="00EF2E61">
        <w:trPr>
          <w:trHeight w:val="827"/>
        </w:trPr>
        <w:tc>
          <w:tcPr>
            <w:tcW w:w="389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FAD8994" w14:textId="3DD18E4A" w:rsidR="00327A55" w:rsidRPr="003419A0" w:rsidRDefault="00944EA1" w:rsidP="00980C24">
            <w:pPr>
              <w:pStyle w:val="Default"/>
              <w:spacing w:before="60"/>
              <w:ind w:left="117"/>
              <w:rPr>
                <w:sz w:val="26"/>
                <w:szCs w:val="26"/>
                <w:lang w:val="es-ES"/>
              </w:rPr>
            </w:pPr>
            <w:r w:rsidRPr="003419A0">
              <w:rPr>
                <w:sz w:val="26"/>
                <w:szCs w:val="26"/>
                <w:lang w:val="es"/>
              </w:rPr>
              <w:t>Estado del paciente (por ejemplo, en ayunas)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83A33F" w14:textId="7AFA0FCC" w:rsidR="00327A55" w:rsidRPr="003419A0" w:rsidRDefault="00BC7A74" w:rsidP="00980C24">
            <w:pPr>
              <w:pStyle w:val="Default"/>
              <w:spacing w:before="60"/>
              <w:ind w:left="128"/>
              <w:rPr>
                <w:sz w:val="26"/>
                <w:szCs w:val="26"/>
              </w:rPr>
            </w:pPr>
            <w:r w:rsidRPr="003419A0">
              <w:rPr>
                <w:sz w:val="26"/>
                <w:szCs w:val="26"/>
                <w:lang w:val="es"/>
              </w:rPr>
              <w:t>Desempeño del operador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A6F5E" w14:textId="6544DD7F" w:rsidR="00327A55" w:rsidRPr="003419A0" w:rsidRDefault="00E7314E" w:rsidP="00980C24">
            <w:pPr>
              <w:pStyle w:val="Default"/>
              <w:spacing w:before="60"/>
              <w:ind w:left="144"/>
              <w:rPr>
                <w:sz w:val="26"/>
                <w:szCs w:val="26"/>
              </w:rPr>
            </w:pPr>
            <w:r w:rsidRPr="003419A0">
              <w:rPr>
                <w:sz w:val="26"/>
                <w:szCs w:val="26"/>
                <w:lang w:val="es"/>
              </w:rPr>
              <w:t>Transmisión LIS/Middleware</w:t>
            </w:r>
          </w:p>
        </w:tc>
      </w:tr>
      <w:tr w:rsidR="00327A55" w14:paraId="7985FE56" w14:textId="77777777" w:rsidTr="00EF2E61">
        <w:trPr>
          <w:trHeight w:val="539"/>
        </w:trPr>
        <w:tc>
          <w:tcPr>
            <w:tcW w:w="389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1B89E46" w14:textId="55D7E5E8" w:rsidR="00327A55" w:rsidRPr="003419A0" w:rsidRDefault="00327A55" w:rsidP="00D629F8">
            <w:pPr>
              <w:spacing w:before="40"/>
              <w:rPr>
                <w:sz w:val="26"/>
                <w:szCs w:val="26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CAD50" w14:textId="14227ED3" w:rsidR="00327A55" w:rsidRPr="003419A0" w:rsidRDefault="001C0C9A" w:rsidP="00980C24">
            <w:pPr>
              <w:pStyle w:val="Default"/>
              <w:spacing w:before="60"/>
              <w:ind w:left="119"/>
              <w:rPr>
                <w:sz w:val="26"/>
                <w:szCs w:val="26"/>
              </w:rPr>
            </w:pPr>
            <w:r w:rsidRPr="003419A0">
              <w:rPr>
                <w:noProof/>
                <w:sz w:val="26"/>
                <w:szCs w:val="26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3B634BB" wp14:editId="0BA952C0">
                      <wp:simplePos x="0" y="0"/>
                      <wp:positionH relativeFrom="column">
                        <wp:posOffset>1736090</wp:posOffset>
                      </wp:positionH>
                      <wp:positionV relativeFrom="paragraph">
                        <wp:posOffset>15876</wp:posOffset>
                      </wp:positionV>
                      <wp:extent cx="894599" cy="825500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4599" cy="825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C75A47" w14:textId="44C935E0" w:rsidR="0024392F" w:rsidRPr="001C0C9A" w:rsidRDefault="0024392F" w:rsidP="00A177D8">
                                  <w:pPr>
                                    <w:spacing w:after="0" w:line="228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23"/>
                                      <w:szCs w:val="23"/>
                                      <w:lang w:val="es"/>
                                    </w:rPr>
                                    <w:t>Variación analítica</w:t>
                                  </w:r>
                                </w:p>
                                <w:p w14:paraId="7624A611" w14:textId="693F7405" w:rsidR="0024392F" w:rsidRPr="00DB308D" w:rsidRDefault="0024392F" w:rsidP="0024392F">
                                  <w:pPr>
                                    <w:spacing w:before="200" w:after="0" w:line="228" w:lineRule="auto"/>
                                    <w:ind w:left="153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44"/>
                                      <w:szCs w:val="44"/>
                                      <w:lang w:val="es"/>
                                    </w:rPr>
                                    <w:t>MU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634BB" id="Text Box 4" o:spid="_x0000_s1028" type="#_x0000_t202" style="position:absolute;left:0;text-align:left;margin-left:136.7pt;margin-top:1.25pt;width:70.45pt;height: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" filled="f" stroked="f" strokeweight=".5pt">
                      <v:textbox>
                        <w:txbxContent>
                          <w:p w14:paraId="49C75A47" w14:textId="44C935E0" w:rsidR="0024392F" w:rsidRPr="001C0C9A" w:rsidRDefault="0024392F" w:rsidP="00A177D8">
                            <w:pPr>
                              <w:spacing w:after="0" w:line="228" w:lineRule="auto"/>
                              <w:rPr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  <w:bidi w:val="0"/>
                            </w:pPr>
                            <w:r>
                              <w:rPr>
                                <w:color w:val="000000" w:themeColor="text1"/>
                                <w:sz w:val="23"/>
                                <w:szCs w:val="23"/>
                                <w:lang w:val="es"/>
                                <w:b w:val="1"/>
                                <w:bCs w:val="1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Variación analítica</w:t>
                            </w:r>
                          </w:p>
                          <w:p w14:paraId="7624A611" w14:textId="693F7405" w:rsidR="0024392F" w:rsidRPr="00DB308D" w:rsidRDefault="0024392F" w:rsidP="0024392F">
                            <w:pPr>
                              <w:spacing w:before="200" w:after="0" w:line="228" w:lineRule="auto"/>
                              <w:ind w:left="153"/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bidi w:val="0"/>
                            </w:pPr>
                            <w:r>
                              <w:rPr>
                                <w:rFonts w:ascii="Arial" w:cs="Arial" w:hAnsi="Arial"/>
                                <w:sz w:val="44"/>
                                <w:szCs w:val="44"/>
                                <w:lang w:val="es"/>
                                <w:b w:val="1"/>
                                <w:bCs w:val="1"/>
                                <w:i w:val="0"/>
                                <w:iCs w:val="0"/>
                                <w:u w:val="none"/>
                                <w:vertAlign w:val="baseline"/>
                                <w:rtl w:val="0"/>
                              </w:rPr>
                              <w:t xml:space="preserve">MU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419A0">
              <w:rPr>
                <w:sz w:val="26"/>
                <w:szCs w:val="26"/>
                <w:lang w:val="es"/>
              </w:rPr>
              <w:t>Calibración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18D49" w14:textId="61AD31E3" w:rsidR="00327A55" w:rsidRPr="003419A0" w:rsidRDefault="00327A55" w:rsidP="00D629F8">
            <w:pPr>
              <w:spacing w:before="40"/>
              <w:rPr>
                <w:sz w:val="26"/>
                <w:szCs w:val="26"/>
              </w:rPr>
            </w:pPr>
          </w:p>
        </w:tc>
      </w:tr>
    </w:tbl>
    <w:p w14:paraId="561853E7" w14:textId="07893146" w:rsidR="00327A55" w:rsidRPr="003419A0" w:rsidRDefault="00F0353B" w:rsidP="0082660B">
      <w:pPr>
        <w:spacing w:before="740" w:after="0" w:line="252" w:lineRule="auto"/>
        <w:ind w:left="6134" w:right="4536"/>
        <w:rPr>
          <w:sz w:val="20"/>
          <w:szCs w:val="20"/>
          <w:lang w:val="es-ES"/>
        </w:rPr>
      </w:pPr>
      <w:r>
        <w:rPr>
          <w:noProof/>
          <w:sz w:val="2"/>
          <w:szCs w:val="2"/>
          <w:lang w:val="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813C97" wp14:editId="3173A7F8">
                <wp:simplePos x="0" y="0"/>
                <wp:positionH relativeFrom="column">
                  <wp:posOffset>6949440</wp:posOffset>
                </wp:positionH>
                <wp:positionV relativeFrom="paragraph">
                  <wp:posOffset>405765</wp:posOffset>
                </wp:positionV>
                <wp:extent cx="1228725" cy="57277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572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99DB8D" w14:textId="747ECBE0" w:rsidR="000955DF" w:rsidRPr="003419A0" w:rsidRDefault="000955DF" w:rsidP="000955DF">
                            <w:pPr>
                              <w:spacing w:after="0" w:line="228" w:lineRule="auto"/>
                              <w:rPr>
                                <w:sz w:val="17"/>
                                <w:szCs w:val="17"/>
                              </w:rPr>
                            </w:pPr>
                            <w:r w:rsidRPr="003419A0">
                              <w:rPr>
                                <w:b/>
                                <w:bCs/>
                                <w:sz w:val="17"/>
                                <w:szCs w:val="17"/>
                                <w:lang w:val="es"/>
                              </w:rPr>
                              <w:t>Variación posanalítica (presente o no presente)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13C97" id="Text Box 3" o:spid="_x0000_s1029" type="#_x0000_t202" style="position:absolute;left:0;text-align:left;margin-left:547.2pt;margin-top:31.95pt;width:96.75pt;height:4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" filled="f" stroked="f" strokeweight=".5pt">
                <v:textbox>
                  <w:txbxContent>
                    <w:p w14:paraId="3199DB8D" w14:textId="747ECBE0" w:rsidR="000955DF" w:rsidRPr="003419A0" w:rsidRDefault="000955DF" w:rsidP="000955DF">
                      <w:pPr>
                        <w:spacing w:after="0" w:line="228" w:lineRule="auto"/>
                        <w:rPr>
                          <w:sz w:val="17"/>
                          <w:szCs w:val="17"/>
                        </w:rPr>
                      </w:pPr>
                      <w:r w:rsidRPr="003419A0">
                        <w:rPr>
                          <w:b/>
                          <w:bCs/>
                          <w:sz w:val="17"/>
                          <w:szCs w:val="17"/>
                          <w:lang w:val="es"/>
                        </w:rPr>
                        <w:t>Variación posanalítica (presente o no presente)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val="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8103D8" wp14:editId="353410DD">
                <wp:simplePos x="0" y="0"/>
                <wp:positionH relativeFrom="column">
                  <wp:posOffset>2032331</wp:posOffset>
                </wp:positionH>
                <wp:positionV relativeFrom="paragraph">
                  <wp:posOffset>297815</wp:posOffset>
                </wp:positionV>
                <wp:extent cx="1171575" cy="57277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572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D15619" w14:textId="18EF3D6C" w:rsidR="009B71C4" w:rsidRPr="003419A0" w:rsidRDefault="009B71C4" w:rsidP="009B71C4">
                            <w:pPr>
                              <w:spacing w:after="0" w:line="245" w:lineRule="auto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s"/>
                              </w:rPr>
                              <w:t>Variación preanalítica (presente o no presente)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103D8" id="Text Box 2" o:spid="_x0000_s1030" type="#_x0000_t202" style="position:absolute;left:0;text-align:left;margin-left:160.05pt;margin-top:23.45pt;width:92.25pt;height:4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" filled="f" stroked="f" strokeweight=".5pt">
                <v:textbox>
                  <w:txbxContent>
                    <w:p w14:paraId="72D15619" w14:textId="18EF3D6C" w:rsidR="009B71C4" w:rsidRPr="003419A0" w:rsidRDefault="009B71C4" w:rsidP="009B71C4">
                      <w:pPr>
                        <w:spacing w:after="0" w:line="245" w:lineRule="auto"/>
                        <w:rPr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s"/>
                        </w:rPr>
                        <w:t>Variación preanalítica (presente o no presente)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0"/>
          <w:lang w:val="es"/>
        </w:rPr>
        <w:t>Si se mide la incertidumbre ya no es la incertidumbre sino el intervalo de confianza dentro del cual se encuentra el resultado.</w:t>
      </w:r>
    </w:p>
    <w:p w14:paraId="46F061D3" w14:textId="77777777" w:rsidR="00A57D04" w:rsidRPr="003419A0" w:rsidRDefault="00A57D04" w:rsidP="003419A0">
      <w:pPr>
        <w:pStyle w:val="BodyText"/>
        <w:tabs>
          <w:tab w:val="left" w:pos="2376"/>
          <w:tab w:val="left" w:pos="5931"/>
        </w:tabs>
        <w:spacing w:before="240" w:line="235" w:lineRule="auto"/>
        <w:ind w:left="158" w:right="562"/>
        <w:rPr>
          <w:sz w:val="20"/>
          <w:szCs w:val="20"/>
          <w:lang w:val="es-ES"/>
        </w:rPr>
      </w:pPr>
      <w:r w:rsidRPr="003419A0">
        <w:rPr>
          <w:sz w:val="20"/>
          <w:szCs w:val="20"/>
          <w:lang w:val="es"/>
        </w:rPr>
        <w:t>µ = incertidumbre,</w:t>
      </w:r>
      <w:r w:rsidRPr="003419A0">
        <w:rPr>
          <w:sz w:val="20"/>
          <w:szCs w:val="20"/>
          <w:lang w:val="es"/>
        </w:rPr>
        <w:tab/>
        <w:t>U = incertidumbre expandida = k *µ</w:t>
      </w:r>
      <w:r w:rsidRPr="003419A0">
        <w:rPr>
          <w:sz w:val="20"/>
          <w:szCs w:val="20"/>
          <w:lang w:val="es"/>
        </w:rPr>
        <w:tab/>
        <w:t>con k = 2 para una confianza del aproximadamente 95 % y k = 3 para una confianza del aproximadamente 99 % X ± 2 µ incluye un valor verdadero de X con una confianza de aproximadamente 95 %; entre los valores (X - 2µ, X + 2µ) = (X - U, X + U)</w:t>
      </w:r>
    </w:p>
    <w:p w14:paraId="0EE5B5B8" w14:textId="77777777" w:rsidR="00A57D04" w:rsidRPr="003419A0" w:rsidRDefault="00A57D04" w:rsidP="00A57D04">
      <w:pPr>
        <w:pStyle w:val="BodyText"/>
        <w:tabs>
          <w:tab w:val="left" w:pos="5418"/>
        </w:tabs>
        <w:spacing w:line="288" w:lineRule="exact"/>
        <w:ind w:left="369"/>
        <w:rPr>
          <w:sz w:val="20"/>
          <w:szCs w:val="20"/>
          <w:lang w:val="es-ES"/>
        </w:rPr>
      </w:pPr>
      <w:r w:rsidRPr="003419A0">
        <w:rPr>
          <w:sz w:val="20"/>
          <w:szCs w:val="20"/>
          <w:lang w:val="es"/>
        </w:rPr>
        <w:t>En un nivel cercano a X, la MU es ± U; (IC del 95 % = X - U a X + U)</w:t>
      </w:r>
      <w:r w:rsidRPr="003419A0">
        <w:rPr>
          <w:sz w:val="20"/>
          <w:szCs w:val="20"/>
          <w:lang w:val="es"/>
        </w:rPr>
        <w:tab/>
        <w:t>El número de dígitos significativos dado para una MU debe ser el mismo que el utilizado para los resultados informados.</w:t>
      </w:r>
    </w:p>
    <w:p w14:paraId="1D79140F" w14:textId="77777777" w:rsidR="00A57D04" w:rsidRPr="003419A0" w:rsidRDefault="00A57D04" w:rsidP="00A57D04">
      <w:pPr>
        <w:pStyle w:val="BodyText"/>
        <w:spacing w:line="280" w:lineRule="exact"/>
        <w:ind w:left="144"/>
        <w:rPr>
          <w:sz w:val="20"/>
          <w:szCs w:val="20"/>
          <w:lang w:val="es-ES"/>
        </w:rPr>
      </w:pPr>
      <w:r w:rsidRPr="003419A0">
        <w:rPr>
          <w:sz w:val="20"/>
          <w:szCs w:val="20"/>
          <w:lang w:val="es"/>
        </w:rPr>
        <w:t>X ± 3µ incluye el valor verdadero con un nivel de confianza de aproximadamente el 99 %.</w:t>
      </w:r>
    </w:p>
    <w:p w14:paraId="4903507A" w14:textId="77777777" w:rsidR="00A57D04" w:rsidRPr="003419A0" w:rsidRDefault="00A57D04" w:rsidP="00AF7089">
      <w:pPr>
        <w:pStyle w:val="BodyText"/>
        <w:spacing w:before="2" w:line="235" w:lineRule="auto"/>
        <w:ind w:left="158"/>
        <w:rPr>
          <w:sz w:val="20"/>
          <w:szCs w:val="20"/>
          <w:lang w:val="es-ES"/>
        </w:rPr>
      </w:pPr>
      <w:r w:rsidRPr="003419A0">
        <w:rPr>
          <w:sz w:val="20"/>
          <w:szCs w:val="20"/>
          <w:lang w:val="es"/>
        </w:rPr>
        <w:t>Valores de cambio de referencia (Reference Change Values, RCV): determinan si la diferencia entre dos resultados es insignificante debido a la incertidumbre o significativa debido a un cambio genuino en la condición del paciente.</w:t>
      </w:r>
    </w:p>
    <w:p w14:paraId="1F3327AC" w14:textId="77777777" w:rsidR="00A57D04" w:rsidRPr="003419A0" w:rsidRDefault="00A57D04" w:rsidP="00AF7089">
      <w:pPr>
        <w:spacing w:after="0" w:line="216" w:lineRule="auto"/>
        <w:ind w:left="158"/>
        <w:rPr>
          <w:sz w:val="20"/>
          <w:szCs w:val="20"/>
          <w:lang w:val="es-ES"/>
        </w:rPr>
      </w:pPr>
      <w:r w:rsidRPr="003419A0">
        <w:rPr>
          <w:sz w:val="20"/>
          <w:szCs w:val="20"/>
          <w:lang w:val="es"/>
        </w:rPr>
        <w:t xml:space="preserve">RCV </w:t>
      </w:r>
      <w:r w:rsidRPr="003419A0">
        <w:rPr>
          <w:sz w:val="20"/>
          <w:szCs w:val="20"/>
          <w:vertAlign w:val="subscript"/>
          <w:lang w:val="es"/>
        </w:rPr>
        <w:t>en %</w:t>
      </w:r>
      <w:r w:rsidRPr="003419A0">
        <w:rPr>
          <w:sz w:val="20"/>
          <w:szCs w:val="20"/>
          <w:lang w:val="es"/>
        </w:rPr>
        <w:t xml:space="preserve"> &gt;2,77 * (% de CV </w:t>
      </w:r>
      <w:r w:rsidRPr="003419A0">
        <w:rPr>
          <w:sz w:val="20"/>
          <w:szCs w:val="20"/>
          <w:vertAlign w:val="subscript"/>
          <w:lang w:val="es"/>
        </w:rPr>
        <w:t>analítico</w:t>
      </w:r>
      <w:r w:rsidRPr="003419A0">
        <w:rPr>
          <w:sz w:val="20"/>
          <w:szCs w:val="20"/>
          <w:lang w:val="es"/>
        </w:rPr>
        <w:t>) a un nivel de confianza del 95 %</w:t>
      </w:r>
    </w:p>
    <w:p w14:paraId="0885B2AD" w14:textId="77777777" w:rsidR="00A57D04" w:rsidRPr="003419A0" w:rsidRDefault="00A57D04" w:rsidP="00AF7089">
      <w:pPr>
        <w:spacing w:after="0" w:line="216" w:lineRule="auto"/>
        <w:ind w:left="158"/>
        <w:rPr>
          <w:sz w:val="20"/>
          <w:szCs w:val="20"/>
          <w:lang w:val="es-ES"/>
        </w:rPr>
      </w:pPr>
      <w:r w:rsidRPr="003419A0">
        <w:rPr>
          <w:sz w:val="20"/>
          <w:szCs w:val="20"/>
          <w:lang w:val="es"/>
        </w:rPr>
        <w:t xml:space="preserve">RCV </w:t>
      </w:r>
      <w:r w:rsidRPr="003419A0">
        <w:rPr>
          <w:sz w:val="20"/>
          <w:szCs w:val="20"/>
          <w:vertAlign w:val="subscript"/>
          <w:lang w:val="es"/>
        </w:rPr>
        <w:t>en unidades</w:t>
      </w:r>
      <w:r w:rsidRPr="003419A0">
        <w:rPr>
          <w:sz w:val="20"/>
          <w:szCs w:val="20"/>
          <w:lang w:val="es"/>
        </w:rPr>
        <w:t xml:space="preserve">&gt;2,77 * (SD </w:t>
      </w:r>
      <w:r w:rsidRPr="003419A0">
        <w:rPr>
          <w:sz w:val="20"/>
          <w:szCs w:val="20"/>
          <w:vertAlign w:val="subscript"/>
          <w:lang w:val="es"/>
        </w:rPr>
        <w:t>analítica</w:t>
      </w:r>
      <w:r w:rsidRPr="003419A0">
        <w:rPr>
          <w:sz w:val="20"/>
          <w:szCs w:val="20"/>
          <w:lang w:val="es"/>
        </w:rPr>
        <w:t xml:space="preserve">) = 2,77 ([% de CV </w:t>
      </w:r>
      <w:r w:rsidRPr="003419A0">
        <w:rPr>
          <w:sz w:val="20"/>
          <w:szCs w:val="20"/>
          <w:vertAlign w:val="subscript"/>
          <w:lang w:val="es"/>
        </w:rPr>
        <w:t xml:space="preserve">analítico </w:t>
      </w:r>
      <w:r w:rsidRPr="003419A0">
        <w:rPr>
          <w:sz w:val="20"/>
          <w:szCs w:val="20"/>
          <w:lang w:val="es"/>
        </w:rPr>
        <w:t>* resultado del ensayo]/100 %) = 2,77 ([µ % * resultado del ensayo]/100 %)</w:t>
      </w:r>
    </w:p>
    <w:p w14:paraId="0C244B60" w14:textId="77777777" w:rsidR="00A57D04" w:rsidRPr="003419A0" w:rsidRDefault="00A57D04" w:rsidP="00AF7089">
      <w:pPr>
        <w:pStyle w:val="BodyText"/>
        <w:spacing w:line="216" w:lineRule="auto"/>
        <w:ind w:left="162"/>
        <w:rPr>
          <w:sz w:val="20"/>
          <w:szCs w:val="20"/>
          <w:lang w:val="es-ES"/>
        </w:rPr>
      </w:pPr>
      <w:r w:rsidRPr="003419A0">
        <w:rPr>
          <w:sz w:val="20"/>
          <w:szCs w:val="20"/>
          <w:lang w:val="es"/>
        </w:rPr>
        <w:t xml:space="preserve">Si se conoce la variación biológica (CVI), los RCV </w:t>
      </w:r>
      <w:r w:rsidRPr="003419A0">
        <w:rPr>
          <w:sz w:val="20"/>
          <w:szCs w:val="20"/>
          <w:vertAlign w:val="subscript"/>
          <w:lang w:val="es"/>
        </w:rPr>
        <w:t>en %</w:t>
      </w:r>
      <w:r w:rsidRPr="003419A0">
        <w:rPr>
          <w:sz w:val="20"/>
          <w:szCs w:val="20"/>
          <w:lang w:val="es"/>
        </w:rPr>
        <w:t xml:space="preserve"> &gt;2,77 *√ (% de CV</w:t>
      </w:r>
      <w:r w:rsidRPr="003419A0">
        <w:rPr>
          <w:sz w:val="20"/>
          <w:szCs w:val="20"/>
          <w:vertAlign w:val="superscript"/>
          <w:lang w:val="es"/>
        </w:rPr>
        <w:t>2</w:t>
      </w:r>
      <w:r w:rsidRPr="003419A0">
        <w:rPr>
          <w:sz w:val="20"/>
          <w:szCs w:val="20"/>
          <w:lang w:val="es"/>
        </w:rPr>
        <w:t> </w:t>
      </w:r>
      <w:r w:rsidRPr="003419A0">
        <w:rPr>
          <w:sz w:val="20"/>
          <w:szCs w:val="20"/>
          <w:vertAlign w:val="subscript"/>
          <w:lang w:val="es"/>
        </w:rPr>
        <w:t>Analítico</w:t>
      </w:r>
      <w:r w:rsidRPr="003419A0">
        <w:rPr>
          <w:sz w:val="20"/>
          <w:szCs w:val="20"/>
          <w:lang w:val="es"/>
        </w:rPr>
        <w:t> + % de CV</w:t>
      </w:r>
      <w:r w:rsidRPr="003419A0">
        <w:rPr>
          <w:sz w:val="20"/>
          <w:szCs w:val="20"/>
          <w:vertAlign w:val="superscript"/>
          <w:lang w:val="es"/>
        </w:rPr>
        <w:t>2</w:t>
      </w:r>
      <w:r w:rsidRPr="003419A0">
        <w:rPr>
          <w:sz w:val="20"/>
          <w:szCs w:val="20"/>
          <w:lang w:val="es"/>
        </w:rPr>
        <w:t> I) con un nivel de confianza del 95 %</w:t>
      </w:r>
    </w:p>
    <w:p w14:paraId="676C6203" w14:textId="77777777" w:rsidR="00A57D04" w:rsidRPr="003419A0" w:rsidRDefault="00A57D04" w:rsidP="004908E1">
      <w:pPr>
        <w:tabs>
          <w:tab w:val="left" w:pos="2304"/>
          <w:tab w:val="left" w:pos="4464"/>
        </w:tabs>
        <w:spacing w:after="0" w:line="216" w:lineRule="auto"/>
        <w:ind w:left="162"/>
        <w:rPr>
          <w:sz w:val="20"/>
          <w:szCs w:val="20"/>
          <w:lang w:val="es-ES"/>
        </w:rPr>
      </w:pPr>
      <w:r w:rsidRPr="003419A0">
        <w:rPr>
          <w:sz w:val="20"/>
          <w:szCs w:val="20"/>
          <w:lang w:val="es"/>
        </w:rPr>
        <w:t xml:space="preserve">% de CV </w:t>
      </w:r>
      <w:r w:rsidRPr="003419A0">
        <w:rPr>
          <w:sz w:val="20"/>
          <w:szCs w:val="20"/>
          <w:vertAlign w:val="subscript"/>
          <w:lang w:val="es"/>
        </w:rPr>
        <w:t>Analítico</w:t>
      </w:r>
      <w:r w:rsidRPr="003419A0">
        <w:rPr>
          <w:sz w:val="20"/>
          <w:szCs w:val="20"/>
          <w:vertAlign w:val="superscript"/>
          <w:lang w:val="es"/>
        </w:rPr>
        <w:t> </w:t>
      </w:r>
      <w:r w:rsidRPr="003419A0">
        <w:rPr>
          <w:sz w:val="20"/>
          <w:szCs w:val="20"/>
          <w:lang w:val="es"/>
        </w:rPr>
        <w:t>= %µ</w:t>
      </w:r>
      <w:r w:rsidRPr="003419A0">
        <w:rPr>
          <w:sz w:val="20"/>
          <w:szCs w:val="20"/>
          <w:lang w:val="es"/>
        </w:rPr>
        <w:tab/>
        <w:t>SD </w:t>
      </w:r>
      <w:r w:rsidRPr="003419A0">
        <w:rPr>
          <w:sz w:val="20"/>
          <w:szCs w:val="20"/>
          <w:vertAlign w:val="subscript"/>
          <w:lang w:val="es"/>
        </w:rPr>
        <w:t>Analítico</w:t>
      </w:r>
      <w:r w:rsidRPr="003419A0">
        <w:rPr>
          <w:sz w:val="20"/>
          <w:szCs w:val="20"/>
          <w:vertAlign w:val="superscript"/>
          <w:lang w:val="es"/>
        </w:rPr>
        <w:t> </w:t>
      </w:r>
      <w:r w:rsidRPr="003419A0">
        <w:rPr>
          <w:sz w:val="20"/>
          <w:szCs w:val="20"/>
          <w:lang w:val="es"/>
        </w:rPr>
        <w:t>=µ</w:t>
      </w:r>
      <w:r w:rsidRPr="003419A0">
        <w:rPr>
          <w:sz w:val="20"/>
          <w:szCs w:val="20"/>
          <w:vertAlign w:val="subscript"/>
          <w:lang w:val="es"/>
        </w:rPr>
        <w:t>en unidades</w:t>
      </w:r>
      <w:r w:rsidRPr="003419A0">
        <w:rPr>
          <w:sz w:val="20"/>
          <w:szCs w:val="20"/>
          <w:lang w:val="es"/>
        </w:rPr>
        <w:tab/>
        <w:t xml:space="preserve">SD </w:t>
      </w:r>
      <w:r w:rsidRPr="003419A0">
        <w:rPr>
          <w:sz w:val="20"/>
          <w:szCs w:val="20"/>
          <w:vertAlign w:val="subscript"/>
          <w:lang w:val="es"/>
        </w:rPr>
        <w:t>Analítico</w:t>
      </w:r>
      <w:r w:rsidRPr="003419A0">
        <w:rPr>
          <w:sz w:val="20"/>
          <w:szCs w:val="20"/>
          <w:lang w:val="es"/>
        </w:rPr>
        <w:t xml:space="preserve"> = (% de CV </w:t>
      </w:r>
      <w:r w:rsidRPr="003419A0">
        <w:rPr>
          <w:sz w:val="20"/>
          <w:szCs w:val="20"/>
          <w:vertAlign w:val="subscript"/>
          <w:lang w:val="es"/>
        </w:rPr>
        <w:t>Analítico</w:t>
      </w:r>
      <w:r w:rsidRPr="003419A0">
        <w:rPr>
          <w:sz w:val="20"/>
          <w:szCs w:val="20"/>
          <w:vertAlign w:val="superscript"/>
          <w:lang w:val="es"/>
        </w:rPr>
        <w:t xml:space="preserve"> </w:t>
      </w:r>
      <w:r w:rsidRPr="003419A0">
        <w:rPr>
          <w:sz w:val="20"/>
          <w:szCs w:val="20"/>
          <w:lang w:val="es"/>
        </w:rPr>
        <w:t>* media)/100 %</w:t>
      </w:r>
    </w:p>
    <w:p w14:paraId="43F8F983" w14:textId="77777777" w:rsidR="00A57D04" w:rsidRPr="003419A0" w:rsidRDefault="00A57D04" w:rsidP="004908E1">
      <w:pPr>
        <w:pStyle w:val="ListParagraph"/>
        <w:numPr>
          <w:ilvl w:val="0"/>
          <w:numId w:val="1"/>
        </w:numPr>
        <w:tabs>
          <w:tab w:val="left" w:pos="603"/>
        </w:tabs>
        <w:spacing w:before="9" w:line="216" w:lineRule="auto"/>
        <w:ind w:left="100" w:hanging="86"/>
        <w:rPr>
          <w:sz w:val="16"/>
          <w:szCs w:val="16"/>
          <w:lang w:val="es-ES"/>
        </w:rPr>
      </w:pPr>
      <w:r w:rsidRPr="003419A0">
        <w:rPr>
          <w:sz w:val="16"/>
          <w:szCs w:val="16"/>
          <w:lang w:val="es"/>
        </w:rPr>
        <w:t>Si el método tiene un paso de cuantificación, como un valor de absorbancia para determinar un punto de corte, se debe calcular la medición de la incertidumbre.</w:t>
      </w:r>
    </w:p>
    <w:p w14:paraId="4188EA0F" w14:textId="77777777" w:rsidR="00A57D04" w:rsidRPr="003419A0" w:rsidRDefault="00A57D04" w:rsidP="004908E1">
      <w:pPr>
        <w:pStyle w:val="ListParagraph"/>
        <w:numPr>
          <w:ilvl w:val="0"/>
          <w:numId w:val="1"/>
        </w:numPr>
        <w:tabs>
          <w:tab w:val="left" w:pos="603"/>
        </w:tabs>
        <w:spacing w:line="216" w:lineRule="auto"/>
        <w:ind w:left="100" w:hanging="86"/>
        <w:rPr>
          <w:sz w:val="16"/>
          <w:szCs w:val="16"/>
          <w:lang w:val="es-ES"/>
        </w:rPr>
      </w:pPr>
      <w:r w:rsidRPr="003419A0">
        <w:rPr>
          <w:sz w:val="16"/>
          <w:szCs w:val="16"/>
          <w:lang w:val="es"/>
        </w:rPr>
        <w:t>Cuando se calculan incertidumbres combinadas para parámetros que se calculan utilizando suma y resta, por ejemplo, la brecha aniónica, se puede utilizar el valor de desviación estándar o µ.</w:t>
      </w:r>
    </w:p>
    <w:p w14:paraId="3C8828A0" w14:textId="77777777" w:rsidR="00A57D04" w:rsidRPr="003419A0" w:rsidRDefault="00A57D04" w:rsidP="004908E1">
      <w:pPr>
        <w:pStyle w:val="ListParagraph"/>
        <w:numPr>
          <w:ilvl w:val="0"/>
          <w:numId w:val="1"/>
        </w:numPr>
        <w:tabs>
          <w:tab w:val="left" w:pos="603"/>
        </w:tabs>
        <w:spacing w:line="216" w:lineRule="auto"/>
        <w:ind w:left="100" w:hanging="86"/>
        <w:rPr>
          <w:sz w:val="16"/>
          <w:szCs w:val="16"/>
          <w:lang w:val="es-ES"/>
        </w:rPr>
      </w:pPr>
      <w:r w:rsidRPr="003419A0">
        <w:rPr>
          <w:sz w:val="16"/>
          <w:szCs w:val="16"/>
          <w:lang w:val="es"/>
        </w:rPr>
        <w:t>De manera similar, cuando se calculan incertidumbres combinadas para parámetros que se calculan utilizando división y multiplicación, por ejemplo, el aclaramiento de creatinina, la desviación estándar o µ primero se deben convertir a % de coeficiente de variación (% de CV).</w:t>
      </w:r>
    </w:p>
    <w:sectPr w:rsidR="00A57D04" w:rsidRPr="003419A0" w:rsidSect="00D629F8">
      <w:pgSz w:w="15595" w:h="10800" w:orient="landscape" w:code="1"/>
      <w:pgMar w:top="126" w:right="160" w:bottom="0" w:left="126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52F20" w14:textId="77777777" w:rsidR="00F151D7" w:rsidRDefault="00F151D7" w:rsidP="00D629F8">
      <w:pPr>
        <w:spacing w:after="0" w:line="240" w:lineRule="auto"/>
      </w:pPr>
      <w:r>
        <w:separator/>
      </w:r>
    </w:p>
  </w:endnote>
  <w:endnote w:type="continuationSeparator" w:id="0">
    <w:p w14:paraId="1939142C" w14:textId="77777777" w:rsidR="00F151D7" w:rsidRDefault="00F151D7" w:rsidP="00D62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23D6D" w14:textId="77777777" w:rsidR="00F151D7" w:rsidRDefault="00F151D7" w:rsidP="00D629F8">
      <w:pPr>
        <w:spacing w:after="0" w:line="240" w:lineRule="auto"/>
      </w:pPr>
      <w:r>
        <w:separator/>
      </w:r>
    </w:p>
  </w:footnote>
  <w:footnote w:type="continuationSeparator" w:id="0">
    <w:p w14:paraId="661D342C" w14:textId="77777777" w:rsidR="00F151D7" w:rsidRDefault="00F151D7" w:rsidP="00D62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E5C0C"/>
    <w:multiLevelType w:val="hybridMultilevel"/>
    <w:tmpl w:val="EE00FD6E"/>
    <w:lvl w:ilvl="0" w:tplc="F0988000">
      <w:numFmt w:val="bullet"/>
      <w:lvlText w:val="•"/>
      <w:lvlJc w:val="left"/>
      <w:pPr>
        <w:ind w:left="192" w:hanging="89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07269F84">
      <w:numFmt w:val="bullet"/>
      <w:lvlText w:val="•"/>
      <w:lvlJc w:val="left"/>
      <w:pPr>
        <w:ind w:left="1728" w:hanging="89"/>
      </w:pPr>
      <w:rPr>
        <w:rFonts w:hint="default"/>
        <w:lang w:val="en-US" w:eastAsia="en-US" w:bidi="ar-SA"/>
      </w:rPr>
    </w:lvl>
    <w:lvl w:ilvl="2" w:tplc="F1AE3330">
      <w:numFmt w:val="bullet"/>
      <w:lvlText w:val="•"/>
      <w:lvlJc w:val="left"/>
      <w:pPr>
        <w:ind w:left="3256" w:hanging="89"/>
      </w:pPr>
      <w:rPr>
        <w:rFonts w:hint="default"/>
        <w:lang w:val="en-US" w:eastAsia="en-US" w:bidi="ar-SA"/>
      </w:rPr>
    </w:lvl>
    <w:lvl w:ilvl="3" w:tplc="48F67A7C">
      <w:numFmt w:val="bullet"/>
      <w:lvlText w:val="•"/>
      <w:lvlJc w:val="left"/>
      <w:pPr>
        <w:ind w:left="4784" w:hanging="89"/>
      </w:pPr>
      <w:rPr>
        <w:rFonts w:hint="default"/>
        <w:lang w:val="en-US" w:eastAsia="en-US" w:bidi="ar-SA"/>
      </w:rPr>
    </w:lvl>
    <w:lvl w:ilvl="4" w:tplc="457618B4">
      <w:numFmt w:val="bullet"/>
      <w:lvlText w:val="•"/>
      <w:lvlJc w:val="left"/>
      <w:pPr>
        <w:ind w:left="6312" w:hanging="89"/>
      </w:pPr>
      <w:rPr>
        <w:rFonts w:hint="default"/>
        <w:lang w:val="en-US" w:eastAsia="en-US" w:bidi="ar-SA"/>
      </w:rPr>
    </w:lvl>
    <w:lvl w:ilvl="5" w:tplc="09AEB056">
      <w:numFmt w:val="bullet"/>
      <w:lvlText w:val="•"/>
      <w:lvlJc w:val="left"/>
      <w:pPr>
        <w:ind w:left="7840" w:hanging="89"/>
      </w:pPr>
      <w:rPr>
        <w:rFonts w:hint="default"/>
        <w:lang w:val="en-US" w:eastAsia="en-US" w:bidi="ar-SA"/>
      </w:rPr>
    </w:lvl>
    <w:lvl w:ilvl="6" w:tplc="742055C2">
      <w:numFmt w:val="bullet"/>
      <w:lvlText w:val="•"/>
      <w:lvlJc w:val="left"/>
      <w:pPr>
        <w:ind w:left="9368" w:hanging="89"/>
      </w:pPr>
      <w:rPr>
        <w:rFonts w:hint="default"/>
        <w:lang w:val="en-US" w:eastAsia="en-US" w:bidi="ar-SA"/>
      </w:rPr>
    </w:lvl>
    <w:lvl w:ilvl="7" w:tplc="6CF679E0">
      <w:numFmt w:val="bullet"/>
      <w:lvlText w:val="•"/>
      <w:lvlJc w:val="left"/>
      <w:pPr>
        <w:ind w:left="10896" w:hanging="89"/>
      </w:pPr>
      <w:rPr>
        <w:rFonts w:hint="default"/>
        <w:lang w:val="en-US" w:eastAsia="en-US" w:bidi="ar-SA"/>
      </w:rPr>
    </w:lvl>
    <w:lvl w:ilvl="8" w:tplc="054CAF88">
      <w:numFmt w:val="bullet"/>
      <w:lvlText w:val="•"/>
      <w:lvlJc w:val="left"/>
      <w:pPr>
        <w:ind w:left="12424" w:hanging="89"/>
      </w:pPr>
      <w:rPr>
        <w:rFonts w:hint="default"/>
        <w:lang w:val="en-US" w:eastAsia="en-US" w:bidi="ar-SA"/>
      </w:rPr>
    </w:lvl>
  </w:abstractNum>
  <w:num w:numId="1" w16cid:durableId="1043596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9F8"/>
    <w:rsid w:val="0006326B"/>
    <w:rsid w:val="000955DF"/>
    <w:rsid w:val="000C449E"/>
    <w:rsid w:val="001220E4"/>
    <w:rsid w:val="00155426"/>
    <w:rsid w:val="0018090F"/>
    <w:rsid w:val="001832B4"/>
    <w:rsid w:val="001C0C9A"/>
    <w:rsid w:val="0024392F"/>
    <w:rsid w:val="00283240"/>
    <w:rsid w:val="00327A55"/>
    <w:rsid w:val="003419A0"/>
    <w:rsid w:val="00363E8A"/>
    <w:rsid w:val="00384166"/>
    <w:rsid w:val="004211A7"/>
    <w:rsid w:val="00465E4B"/>
    <w:rsid w:val="004908E1"/>
    <w:rsid w:val="004D49F6"/>
    <w:rsid w:val="00514B0E"/>
    <w:rsid w:val="00515396"/>
    <w:rsid w:val="00547970"/>
    <w:rsid w:val="005F5AED"/>
    <w:rsid w:val="0064145B"/>
    <w:rsid w:val="006515B0"/>
    <w:rsid w:val="006527EC"/>
    <w:rsid w:val="00696F0A"/>
    <w:rsid w:val="006B44BE"/>
    <w:rsid w:val="00746971"/>
    <w:rsid w:val="007F003F"/>
    <w:rsid w:val="0082660B"/>
    <w:rsid w:val="00843282"/>
    <w:rsid w:val="008931EC"/>
    <w:rsid w:val="00944EA1"/>
    <w:rsid w:val="00980C24"/>
    <w:rsid w:val="00986636"/>
    <w:rsid w:val="009B71C4"/>
    <w:rsid w:val="00A177D8"/>
    <w:rsid w:val="00A22C15"/>
    <w:rsid w:val="00A523AE"/>
    <w:rsid w:val="00A57D04"/>
    <w:rsid w:val="00A61C15"/>
    <w:rsid w:val="00AF7089"/>
    <w:rsid w:val="00B1568D"/>
    <w:rsid w:val="00B20F4D"/>
    <w:rsid w:val="00B237FE"/>
    <w:rsid w:val="00B85AE8"/>
    <w:rsid w:val="00B85E61"/>
    <w:rsid w:val="00B90E00"/>
    <w:rsid w:val="00BC6115"/>
    <w:rsid w:val="00BC7A74"/>
    <w:rsid w:val="00BE6E21"/>
    <w:rsid w:val="00BE7541"/>
    <w:rsid w:val="00C25012"/>
    <w:rsid w:val="00C514BD"/>
    <w:rsid w:val="00C9734F"/>
    <w:rsid w:val="00CF323D"/>
    <w:rsid w:val="00D33412"/>
    <w:rsid w:val="00D629F8"/>
    <w:rsid w:val="00D8141A"/>
    <w:rsid w:val="00DA6197"/>
    <w:rsid w:val="00DB308D"/>
    <w:rsid w:val="00DD3195"/>
    <w:rsid w:val="00E70A18"/>
    <w:rsid w:val="00E7314E"/>
    <w:rsid w:val="00E83FD1"/>
    <w:rsid w:val="00EE24B2"/>
    <w:rsid w:val="00EF2E61"/>
    <w:rsid w:val="00F0353B"/>
    <w:rsid w:val="00F151D7"/>
    <w:rsid w:val="00F35536"/>
    <w:rsid w:val="00F67492"/>
    <w:rsid w:val="00F7641E"/>
    <w:rsid w:val="00F9503C"/>
    <w:rsid w:val="00FC296F"/>
    <w:rsid w:val="00FE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63963"/>
  <w15:chartTrackingRefBased/>
  <w15:docId w15:val="{2F67C4D4-8707-4FF0-8379-35DD5B2D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9F8"/>
  </w:style>
  <w:style w:type="paragraph" w:styleId="Footer">
    <w:name w:val="footer"/>
    <w:basedOn w:val="Normal"/>
    <w:link w:val="FooterChar"/>
    <w:uiPriority w:val="99"/>
    <w:unhideWhenUsed/>
    <w:rsid w:val="00D62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9F8"/>
  </w:style>
  <w:style w:type="table" w:styleId="TableGrid">
    <w:name w:val="Table Grid"/>
    <w:basedOn w:val="TableNormal"/>
    <w:uiPriority w:val="39"/>
    <w:rsid w:val="00D62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29F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57D0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57D04"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A57D04"/>
    <w:pPr>
      <w:widowControl w:val="0"/>
      <w:autoSpaceDE w:val="0"/>
      <w:autoSpaceDN w:val="0"/>
      <w:spacing w:after="0" w:line="242" w:lineRule="exact"/>
      <w:ind w:left="192" w:hanging="89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252</cp:revision>
  <cp:lastPrinted>2025-05-05T08:12:00Z</cp:lastPrinted>
  <dcterms:created xsi:type="dcterms:W3CDTF">2024-12-07T06:50:00Z</dcterms:created>
  <dcterms:modified xsi:type="dcterms:W3CDTF">2025-05-05T08:13:00Z</dcterms:modified>
</cp:coreProperties>
</file>