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7826A" w14:textId="05170B7E" w:rsidR="00B600F4" w:rsidRPr="007F182E" w:rsidRDefault="00B600F4">
      <w:pPr>
        <w:tabs>
          <w:tab w:val="left" w:pos="10721"/>
        </w:tabs>
        <w:spacing w:before="89"/>
        <w:ind w:left="220"/>
        <w:rPr>
          <w:rFonts w:ascii="Arial"/>
          <w:sz w:val="2"/>
          <w:szCs w:val="2"/>
        </w:rPr>
      </w:pPr>
    </w:p>
    <w:tbl>
      <w:tblPr>
        <w:tblStyle w:val="TableGrid"/>
        <w:tblW w:w="10548" w:type="dxa"/>
        <w:tblInd w:w="1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48"/>
      </w:tblGrid>
      <w:tr w:rsidR="00282D57" w:rsidRPr="007F182E" w14:paraId="39FD286C" w14:textId="77777777" w:rsidTr="00F2670A">
        <w:tc>
          <w:tcPr>
            <w:tcW w:w="10548" w:type="dxa"/>
            <w:shd w:val="clear" w:color="auto" w:fill="996633"/>
          </w:tcPr>
          <w:p w14:paraId="73EF2F79" w14:textId="5CDB8B41" w:rsidR="00282D57" w:rsidRPr="007F182E" w:rsidRDefault="00282D57" w:rsidP="00282D57">
            <w:pPr>
              <w:tabs>
                <w:tab w:val="left" w:pos="10721"/>
              </w:tabs>
              <w:rPr>
                <w:rFonts w:ascii="Arial" w:hAnsi="Arial" w:cs="Arial"/>
                <w:b/>
                <w:bCs/>
                <w:sz w:val="29"/>
                <w:szCs w:val="29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9"/>
                <w:szCs w:val="29"/>
                <w:lang w:val="es"/>
              </w:rPr>
              <w:t>Ayuda de trabajo 2: Interpretación de los informes de comparación</w:t>
            </w:r>
            <w:r>
              <w:rPr>
                <w:rFonts w:ascii="Arial" w:hAnsi="Arial" w:cs="Arial"/>
                <w:b/>
                <w:bCs/>
                <w:color w:val="FFFFFF"/>
                <w:sz w:val="29"/>
                <w:szCs w:val="29"/>
                <w:vertAlign w:val="superscript"/>
                <w:lang w:val="es"/>
              </w:rPr>
              <w:t>1215</w:t>
            </w:r>
          </w:p>
        </w:tc>
      </w:tr>
    </w:tbl>
    <w:p w14:paraId="3542DEBF" w14:textId="77777777" w:rsidR="00B600F4" w:rsidRPr="007F182E" w:rsidRDefault="00C425CE" w:rsidP="00542FEF">
      <w:pPr>
        <w:spacing w:before="260"/>
        <w:ind w:left="220"/>
        <w:rPr>
          <w:b/>
          <w:sz w:val="24"/>
        </w:rPr>
      </w:pPr>
      <w:r>
        <w:rPr>
          <w:b/>
          <w:bCs/>
          <w:sz w:val="24"/>
          <w:lang w:val="es"/>
        </w:rPr>
        <w:t>Al iniciar su revisión, comience por plantearse las siguientes preguntas:</w:t>
      </w:r>
    </w:p>
    <w:p w14:paraId="5F6164A9" w14:textId="7C6F98E2" w:rsidR="000C254E" w:rsidRPr="007F182E" w:rsidRDefault="00C425CE" w:rsidP="00127FAE">
      <w:pPr>
        <w:spacing w:before="260"/>
        <w:jc w:val="center"/>
        <w:rPr>
          <w:b/>
          <w:sz w:val="24"/>
        </w:rPr>
      </w:pPr>
      <w:r>
        <w:rPr>
          <w:b/>
          <w:bCs/>
          <w:sz w:val="24"/>
          <w:lang w:val="es"/>
        </w:rPr>
        <w:t>¿Qué valor medio debería obtener mi laboratorio para este control?</w:t>
      </w:r>
    </w:p>
    <w:p w14:paraId="700A6DB1" w14:textId="50015D34" w:rsidR="00B600F4" w:rsidRPr="007F182E" w:rsidRDefault="00C425CE" w:rsidP="00127FAE">
      <w:pPr>
        <w:spacing w:before="300"/>
        <w:jc w:val="center"/>
        <w:rPr>
          <w:b/>
          <w:sz w:val="24"/>
        </w:rPr>
      </w:pPr>
      <w:r>
        <w:rPr>
          <w:b/>
          <w:bCs/>
          <w:sz w:val="24"/>
          <w:lang w:val="es"/>
        </w:rPr>
        <w:t>¿Qué desviación estándar (Standard Deviation, SD) o coeficiente de variación (CV) alcanzan la mayoría de los laboratorios con este método?</w:t>
      </w:r>
    </w:p>
    <w:p w14:paraId="540B4968" w14:textId="47C25153" w:rsidR="00B600F4" w:rsidRPr="007F182E" w:rsidRDefault="00C425CE" w:rsidP="006F6F96">
      <w:pPr>
        <w:pStyle w:val="BodyText"/>
        <w:spacing w:before="240" w:line="276" w:lineRule="auto"/>
        <w:ind w:left="216" w:right="232"/>
      </w:pPr>
      <w:r>
        <w:rPr>
          <w:b/>
          <w:bCs/>
          <w:sz w:val="28"/>
          <w:lang w:val="es"/>
        </w:rPr>
        <w:t xml:space="preserve">Índice desviación estándar </w:t>
      </w:r>
      <w:r>
        <w:rPr>
          <w:lang w:val="es"/>
        </w:rPr>
        <w:t>(Standard Deviation Index, SDI) (también conocido como puntuación z): es el valor calculado que indica el número de unidades de SD de cada resultado con respecto a la media del grupo; describe el sesgo de un método en unidades de SD. El SDI se expresa como un valor positivo o negativo, lo que indica si su resultado está por encima o por debajo de la media del grupo. En los informes de comparación entre laboratorios, el SDI es una estadística que indica la relación entre su valor medio y los resultados informados por su grupo.</w:t>
      </w:r>
    </w:p>
    <w:p w14:paraId="7504F152" w14:textId="77777777" w:rsidR="00B600F4" w:rsidRPr="007F182E" w:rsidRDefault="00C425CE" w:rsidP="00B65FAF">
      <w:pPr>
        <w:pStyle w:val="Heading1"/>
        <w:spacing w:before="340"/>
        <w:ind w:left="1872"/>
      </w:pPr>
      <w:r>
        <w:rPr>
          <w:lang w:val="es"/>
        </w:rPr>
        <w:t>SDI = (media del laboratorio – media del grupo)/SD del grupo</w:t>
      </w:r>
    </w:p>
    <w:p w14:paraId="07631E57" w14:textId="77777777" w:rsidR="00B600F4" w:rsidRPr="007F182E" w:rsidRDefault="00C425CE" w:rsidP="00226252">
      <w:pPr>
        <w:pStyle w:val="BodyText"/>
        <w:spacing w:before="380" w:line="283" w:lineRule="auto"/>
        <w:ind w:left="216" w:right="259"/>
      </w:pPr>
      <w:r>
        <w:rPr>
          <w:b/>
          <w:bCs/>
          <w:sz w:val="28"/>
          <w:lang w:val="es"/>
        </w:rPr>
        <w:t>Índice de coeficiente de variación</w:t>
      </w:r>
      <w:r>
        <w:rPr>
          <w:lang w:val="es"/>
        </w:rPr>
        <w:t>(Coefficient of Variation Index, CVI) (también conocido como razón de coeficiente de variación [Coefficient of variation ratio, CVR]): es la comparación o razón del CV del laboratorio con el CV del grupo.</w:t>
      </w:r>
    </w:p>
    <w:p w14:paraId="22C63EEA" w14:textId="77777777" w:rsidR="00B600F4" w:rsidRPr="007F182E" w:rsidRDefault="00C425CE" w:rsidP="00127FAE">
      <w:pPr>
        <w:pStyle w:val="Heading1"/>
        <w:spacing w:before="320"/>
        <w:ind w:left="0" w:right="2077"/>
        <w:jc w:val="center"/>
      </w:pPr>
      <w:r>
        <w:rPr>
          <w:lang w:val="es"/>
        </w:rPr>
        <w:t>CVI = CV del laboratorio/CV del grupo</w:t>
      </w:r>
    </w:p>
    <w:p w14:paraId="7F2C26A3" w14:textId="77777777" w:rsidR="00B600F4" w:rsidRPr="007F182E" w:rsidRDefault="00C425CE" w:rsidP="00127FAE">
      <w:pPr>
        <w:spacing w:before="520" w:after="300"/>
        <w:ind w:left="216"/>
      </w:pPr>
      <w:r>
        <w:rPr>
          <w:b/>
          <w:bCs/>
          <w:sz w:val="28"/>
          <w:lang w:val="es"/>
        </w:rPr>
        <w:t>N</w:t>
      </w:r>
      <w:r>
        <w:rPr>
          <w:sz w:val="24"/>
          <w:lang w:val="es"/>
        </w:rPr>
        <w:t xml:space="preserve">: </w:t>
      </w:r>
      <w:r>
        <w:rPr>
          <w:lang w:val="es"/>
        </w:rPr>
        <w:t>es el número de laboratorios participantes identificados en el informe</w: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0"/>
        <w:gridCol w:w="3602"/>
        <w:gridCol w:w="543"/>
        <w:gridCol w:w="898"/>
        <w:gridCol w:w="3785"/>
      </w:tblGrid>
      <w:tr w:rsidR="00B600F4" w:rsidRPr="007F182E" w14:paraId="65C9CE54" w14:textId="77777777">
        <w:trPr>
          <w:trHeight w:val="340"/>
        </w:trPr>
        <w:tc>
          <w:tcPr>
            <w:tcW w:w="1820" w:type="dxa"/>
          </w:tcPr>
          <w:p w14:paraId="5220F391" w14:textId="77777777" w:rsidR="00B600F4" w:rsidRPr="007F182E" w:rsidRDefault="00C425CE" w:rsidP="00226252">
            <w:pPr>
              <w:pStyle w:val="TableParagraph"/>
              <w:ind w:left="110"/>
              <w:rPr>
                <w:b/>
                <w:sz w:val="28"/>
              </w:rPr>
            </w:pPr>
            <w:r>
              <w:rPr>
                <w:b/>
                <w:bCs/>
                <w:sz w:val="28"/>
                <w:lang w:val="es"/>
              </w:rPr>
              <w:t>SDI</w:t>
            </w:r>
          </w:p>
        </w:tc>
        <w:tc>
          <w:tcPr>
            <w:tcW w:w="3602" w:type="dxa"/>
          </w:tcPr>
          <w:p w14:paraId="552CDEBC" w14:textId="77777777" w:rsidR="00B600F4" w:rsidRPr="007F182E" w:rsidRDefault="00B600F4" w:rsidP="0022625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543" w:type="dxa"/>
            <w:vMerge w:val="restart"/>
            <w:tcBorders>
              <w:top w:val="nil"/>
              <w:bottom w:val="nil"/>
            </w:tcBorders>
          </w:tcPr>
          <w:p w14:paraId="3569C311" w14:textId="77777777" w:rsidR="00B600F4" w:rsidRPr="007F182E" w:rsidRDefault="00B600F4" w:rsidP="0022625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898" w:type="dxa"/>
          </w:tcPr>
          <w:p w14:paraId="356D24D0" w14:textId="77777777" w:rsidR="00B600F4" w:rsidRPr="007F182E" w:rsidRDefault="00C425CE" w:rsidP="00226252">
            <w:pPr>
              <w:pStyle w:val="TableParagraph"/>
              <w:ind w:left="104"/>
              <w:rPr>
                <w:b/>
                <w:sz w:val="28"/>
              </w:rPr>
            </w:pPr>
            <w:r>
              <w:rPr>
                <w:b/>
                <w:bCs/>
                <w:sz w:val="28"/>
                <w:lang w:val="es"/>
              </w:rPr>
              <w:t>CVI</w:t>
            </w:r>
          </w:p>
        </w:tc>
        <w:tc>
          <w:tcPr>
            <w:tcW w:w="3785" w:type="dxa"/>
          </w:tcPr>
          <w:p w14:paraId="372A1DE6" w14:textId="77777777" w:rsidR="00B600F4" w:rsidRPr="007F182E" w:rsidRDefault="00B600F4" w:rsidP="00226252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B600F4" w:rsidRPr="007F182E" w14:paraId="28888213" w14:textId="77777777">
        <w:trPr>
          <w:trHeight w:val="883"/>
        </w:trPr>
        <w:tc>
          <w:tcPr>
            <w:tcW w:w="1820" w:type="dxa"/>
          </w:tcPr>
          <w:p w14:paraId="09FD5B30" w14:textId="77777777" w:rsidR="00B600F4" w:rsidRPr="007F182E" w:rsidRDefault="00C425CE" w:rsidP="00226252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es"/>
              </w:rPr>
              <w:t>0</w:t>
            </w:r>
          </w:p>
        </w:tc>
        <w:tc>
          <w:tcPr>
            <w:tcW w:w="3602" w:type="dxa"/>
          </w:tcPr>
          <w:p w14:paraId="579FFEC7" w14:textId="77777777" w:rsidR="00B600F4" w:rsidRPr="007F182E" w:rsidRDefault="00C425CE" w:rsidP="00226252">
            <w:pPr>
              <w:pStyle w:val="TableParagraph"/>
              <w:spacing w:before="1"/>
              <w:ind w:left="109" w:right="153"/>
              <w:rPr>
                <w:sz w:val="24"/>
              </w:rPr>
            </w:pPr>
            <w:r>
              <w:rPr>
                <w:sz w:val="24"/>
                <w:lang w:val="es"/>
              </w:rPr>
              <w:t>El valor promedio de su laboratorio es el mismo que el del grupo (sin sesgo).</w:t>
            </w:r>
          </w:p>
        </w:tc>
        <w:tc>
          <w:tcPr>
            <w:tcW w:w="543" w:type="dxa"/>
            <w:vMerge/>
            <w:tcBorders>
              <w:top w:val="nil"/>
              <w:bottom w:val="nil"/>
            </w:tcBorders>
          </w:tcPr>
          <w:p w14:paraId="2FFDF6EE" w14:textId="77777777" w:rsidR="00B600F4" w:rsidRPr="007F182E" w:rsidRDefault="00B600F4" w:rsidP="00226252">
            <w:pPr>
              <w:rPr>
                <w:sz w:val="2"/>
                <w:szCs w:val="2"/>
              </w:rPr>
            </w:pPr>
          </w:p>
        </w:tc>
        <w:tc>
          <w:tcPr>
            <w:tcW w:w="898" w:type="dxa"/>
          </w:tcPr>
          <w:p w14:paraId="3CF6CBBF" w14:textId="77777777" w:rsidR="00B600F4" w:rsidRPr="007F182E" w:rsidRDefault="00C425CE" w:rsidP="00226252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es"/>
              </w:rPr>
              <w:t>&lt;1,0</w:t>
            </w:r>
          </w:p>
        </w:tc>
        <w:tc>
          <w:tcPr>
            <w:tcW w:w="3785" w:type="dxa"/>
          </w:tcPr>
          <w:p w14:paraId="2867933E" w14:textId="1D28B141" w:rsidR="00B600F4" w:rsidRPr="007F182E" w:rsidRDefault="00C425CE" w:rsidP="000C254E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  <w:lang w:val="es"/>
              </w:rPr>
              <w:t>Indica que la imprecisión de un control específico es inferior a la imprecisión promedio del grupo.</w:t>
            </w:r>
          </w:p>
        </w:tc>
      </w:tr>
      <w:tr w:rsidR="00B600F4" w:rsidRPr="007F182E" w14:paraId="77AB010B" w14:textId="77777777">
        <w:trPr>
          <w:trHeight w:val="877"/>
        </w:trPr>
        <w:tc>
          <w:tcPr>
            <w:tcW w:w="1820" w:type="dxa"/>
          </w:tcPr>
          <w:p w14:paraId="17F2D07F" w14:textId="77777777" w:rsidR="00B600F4" w:rsidRPr="007F182E" w:rsidRDefault="00C425CE" w:rsidP="00226252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es"/>
              </w:rPr>
              <w:t>± 1,0</w:t>
            </w:r>
          </w:p>
        </w:tc>
        <w:tc>
          <w:tcPr>
            <w:tcW w:w="3602" w:type="dxa"/>
          </w:tcPr>
          <w:p w14:paraId="59355773" w14:textId="77777777" w:rsidR="00B600F4" w:rsidRPr="007F182E" w:rsidRDefault="00C425CE" w:rsidP="00226252">
            <w:pPr>
              <w:pStyle w:val="TableParagraph"/>
              <w:spacing w:before="1"/>
              <w:ind w:left="109" w:right="153"/>
              <w:rPr>
                <w:sz w:val="24"/>
              </w:rPr>
            </w:pPr>
            <w:r>
              <w:rPr>
                <w:sz w:val="24"/>
                <w:lang w:val="es"/>
              </w:rPr>
              <w:t>El rendimiento es aceptable en comparación con su grupo.</w:t>
            </w:r>
          </w:p>
        </w:tc>
        <w:tc>
          <w:tcPr>
            <w:tcW w:w="543" w:type="dxa"/>
            <w:vMerge/>
            <w:tcBorders>
              <w:top w:val="nil"/>
              <w:bottom w:val="nil"/>
            </w:tcBorders>
          </w:tcPr>
          <w:p w14:paraId="6E68C345" w14:textId="77777777" w:rsidR="00B600F4" w:rsidRPr="007F182E" w:rsidRDefault="00B600F4" w:rsidP="00226252">
            <w:pPr>
              <w:rPr>
                <w:sz w:val="2"/>
                <w:szCs w:val="2"/>
              </w:rPr>
            </w:pPr>
          </w:p>
        </w:tc>
        <w:tc>
          <w:tcPr>
            <w:tcW w:w="898" w:type="dxa"/>
          </w:tcPr>
          <w:p w14:paraId="44182EDE" w14:textId="77777777" w:rsidR="00B600F4" w:rsidRPr="007F182E" w:rsidRDefault="00C425CE" w:rsidP="00226252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es"/>
              </w:rPr>
              <w:t>1,0</w:t>
            </w:r>
          </w:p>
        </w:tc>
        <w:tc>
          <w:tcPr>
            <w:tcW w:w="3785" w:type="dxa"/>
          </w:tcPr>
          <w:p w14:paraId="6ECADDC7" w14:textId="77777777" w:rsidR="00B600F4" w:rsidRPr="007F182E" w:rsidRDefault="00C425CE" w:rsidP="00226252">
            <w:pPr>
              <w:pStyle w:val="TableParagraph"/>
              <w:ind w:right="22"/>
              <w:rPr>
                <w:sz w:val="24"/>
              </w:rPr>
            </w:pPr>
            <w:r>
              <w:rPr>
                <w:sz w:val="24"/>
                <w:lang w:val="es"/>
              </w:rPr>
              <w:t>Indica que la imprecisión de un control específico es igual a la imprecisión promedio del grupo.</w:t>
            </w:r>
          </w:p>
        </w:tc>
      </w:tr>
      <w:tr w:rsidR="00B600F4" w:rsidRPr="007F182E" w14:paraId="4182B592" w14:textId="77777777">
        <w:trPr>
          <w:trHeight w:val="877"/>
        </w:trPr>
        <w:tc>
          <w:tcPr>
            <w:tcW w:w="1820" w:type="dxa"/>
          </w:tcPr>
          <w:p w14:paraId="7653F69C" w14:textId="77777777" w:rsidR="00B600F4" w:rsidRPr="007F182E" w:rsidRDefault="00C425CE" w:rsidP="0022625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es"/>
              </w:rPr>
              <w:t>± 1,0 a 1,9</w:t>
            </w:r>
          </w:p>
        </w:tc>
        <w:tc>
          <w:tcPr>
            <w:tcW w:w="3602" w:type="dxa"/>
          </w:tcPr>
          <w:p w14:paraId="4802193B" w14:textId="2B4CC8BB" w:rsidR="00B600F4" w:rsidRPr="007F182E" w:rsidRDefault="00C425CE" w:rsidP="000C254E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  <w:lang w:val="es"/>
              </w:rPr>
              <w:t>Puede existir un problema; en cuyo caso, el laboratorio debe investigar el problema con sesgo.</w:t>
            </w:r>
          </w:p>
        </w:tc>
        <w:tc>
          <w:tcPr>
            <w:tcW w:w="543" w:type="dxa"/>
            <w:vMerge/>
            <w:tcBorders>
              <w:top w:val="nil"/>
              <w:bottom w:val="nil"/>
            </w:tcBorders>
          </w:tcPr>
          <w:p w14:paraId="138ECB4C" w14:textId="77777777" w:rsidR="00B600F4" w:rsidRPr="007F182E" w:rsidRDefault="00B600F4" w:rsidP="00226252">
            <w:pPr>
              <w:rPr>
                <w:sz w:val="2"/>
                <w:szCs w:val="2"/>
              </w:rPr>
            </w:pPr>
          </w:p>
        </w:tc>
        <w:tc>
          <w:tcPr>
            <w:tcW w:w="898" w:type="dxa"/>
          </w:tcPr>
          <w:p w14:paraId="6819D46F" w14:textId="77777777" w:rsidR="00B600F4" w:rsidRPr="007F182E" w:rsidRDefault="00C425CE" w:rsidP="00226252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es"/>
              </w:rPr>
              <w:t>&gt;1,0</w:t>
            </w:r>
          </w:p>
        </w:tc>
        <w:tc>
          <w:tcPr>
            <w:tcW w:w="3785" w:type="dxa"/>
          </w:tcPr>
          <w:p w14:paraId="5388C88D" w14:textId="6D70F23E" w:rsidR="00B600F4" w:rsidRPr="007F182E" w:rsidRDefault="00C425CE" w:rsidP="000C254E">
            <w:pPr>
              <w:pStyle w:val="TableParagraph"/>
              <w:rPr>
                <w:sz w:val="24"/>
              </w:rPr>
            </w:pPr>
            <w:r>
              <w:rPr>
                <w:sz w:val="24"/>
                <w:lang w:val="es"/>
              </w:rPr>
              <w:t>Indica que la imprecisión de un control específico es superior a la imprecisión promedio del grupo.</w:t>
            </w:r>
          </w:p>
        </w:tc>
      </w:tr>
      <w:tr w:rsidR="00B600F4" w:rsidRPr="007F182E" w14:paraId="6E6771F6" w14:textId="77777777" w:rsidTr="00146E13">
        <w:trPr>
          <w:trHeight w:val="593"/>
        </w:trPr>
        <w:tc>
          <w:tcPr>
            <w:tcW w:w="1820" w:type="dxa"/>
          </w:tcPr>
          <w:p w14:paraId="4E7C6E8A" w14:textId="77777777" w:rsidR="00B600F4" w:rsidRPr="007F182E" w:rsidRDefault="00C425CE" w:rsidP="00226252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es"/>
              </w:rPr>
              <w:t>± 2,0 o superior</w:t>
            </w:r>
          </w:p>
        </w:tc>
        <w:tc>
          <w:tcPr>
            <w:tcW w:w="3602" w:type="dxa"/>
          </w:tcPr>
          <w:p w14:paraId="16A98F6F" w14:textId="77777777" w:rsidR="00B600F4" w:rsidRPr="007F182E" w:rsidRDefault="00C425CE" w:rsidP="00226252">
            <w:pPr>
              <w:pStyle w:val="TableParagraph"/>
              <w:ind w:left="109" w:right="153"/>
              <w:rPr>
                <w:sz w:val="24"/>
              </w:rPr>
            </w:pPr>
            <w:r>
              <w:rPr>
                <w:sz w:val="24"/>
                <w:lang w:val="es"/>
              </w:rPr>
              <w:t>Solucione el problema de sesgo y realice acciones correctivas.</w:t>
            </w:r>
          </w:p>
        </w:tc>
        <w:tc>
          <w:tcPr>
            <w:tcW w:w="543" w:type="dxa"/>
            <w:vMerge/>
            <w:tcBorders>
              <w:top w:val="nil"/>
              <w:bottom w:val="nil"/>
            </w:tcBorders>
          </w:tcPr>
          <w:p w14:paraId="01F04D00" w14:textId="77777777" w:rsidR="00B600F4" w:rsidRPr="007F182E" w:rsidRDefault="00B600F4" w:rsidP="00226252">
            <w:pPr>
              <w:rPr>
                <w:sz w:val="2"/>
                <w:szCs w:val="2"/>
              </w:rPr>
            </w:pPr>
          </w:p>
        </w:tc>
        <w:tc>
          <w:tcPr>
            <w:tcW w:w="898" w:type="dxa"/>
          </w:tcPr>
          <w:p w14:paraId="7AC6AAE6" w14:textId="77777777" w:rsidR="00B600F4" w:rsidRPr="007F182E" w:rsidRDefault="00C425CE" w:rsidP="00226252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es"/>
              </w:rPr>
              <w:t>&gt;1,5</w:t>
            </w:r>
          </w:p>
        </w:tc>
        <w:tc>
          <w:tcPr>
            <w:tcW w:w="3785" w:type="dxa"/>
          </w:tcPr>
          <w:p w14:paraId="329738B6" w14:textId="77777777" w:rsidR="00B600F4" w:rsidRPr="007F182E" w:rsidRDefault="00C425CE" w:rsidP="00226252">
            <w:pPr>
              <w:pStyle w:val="TableParagraph"/>
              <w:rPr>
                <w:sz w:val="24"/>
              </w:rPr>
            </w:pPr>
            <w:r>
              <w:rPr>
                <w:sz w:val="24"/>
                <w:lang w:val="es"/>
              </w:rPr>
              <w:t>Solucione el problema de imprecisión y aplique medidas correctivas.</w:t>
            </w:r>
          </w:p>
        </w:tc>
      </w:tr>
    </w:tbl>
    <w:p w14:paraId="118BCE06" w14:textId="77777777" w:rsidR="00B600F4" w:rsidRPr="005040DD" w:rsidRDefault="00B600F4">
      <w:pPr>
        <w:pStyle w:val="BodyText"/>
        <w:rPr>
          <w:sz w:val="23"/>
          <w:szCs w:val="22"/>
        </w:rPr>
      </w:pPr>
    </w:p>
    <w:p w14:paraId="3B6B8622" w14:textId="77777777" w:rsidR="00B600F4" w:rsidRPr="007F182E" w:rsidRDefault="00C425CE">
      <w:pPr>
        <w:ind w:left="220"/>
      </w:pPr>
      <w:r>
        <w:rPr>
          <w:lang w:val="es"/>
        </w:rPr>
        <w:t>Además del SDI y el CVI, los informes entre laboratorios suelen incluir:</w:t>
      </w:r>
    </w:p>
    <w:p w14:paraId="1F7A56FB" w14:textId="77777777" w:rsidR="00B600F4" w:rsidRPr="007F182E" w:rsidRDefault="00C425CE" w:rsidP="006846F5">
      <w:pPr>
        <w:pStyle w:val="ListParagraph"/>
        <w:numPr>
          <w:ilvl w:val="0"/>
          <w:numId w:val="1"/>
        </w:numPr>
        <w:tabs>
          <w:tab w:val="left" w:pos="936"/>
        </w:tabs>
        <w:spacing w:before="240"/>
        <w:ind w:left="585" w:firstLine="9"/>
      </w:pPr>
      <w:r>
        <w:rPr>
          <w:lang w:val="es"/>
        </w:rPr>
        <w:t>La media, la SD, el CV y el número de mediciones implicadas de su mes.</w:t>
      </w:r>
    </w:p>
    <w:p w14:paraId="3367A6B6" w14:textId="77777777" w:rsidR="00B600F4" w:rsidRPr="007F182E" w:rsidRDefault="00C425CE" w:rsidP="006846F5">
      <w:pPr>
        <w:pStyle w:val="ListParagraph"/>
        <w:numPr>
          <w:ilvl w:val="0"/>
          <w:numId w:val="1"/>
        </w:numPr>
        <w:tabs>
          <w:tab w:val="left" w:pos="936"/>
        </w:tabs>
        <w:ind w:left="585" w:firstLine="9"/>
      </w:pPr>
      <w:r>
        <w:rPr>
          <w:lang w:val="es"/>
        </w:rPr>
        <w:t>La media del laboratorio acumulada o del lote hasta la fecha (lot-to-date, LTD), la SD, el CV y el número de mediciones involucradas.</w:t>
      </w:r>
    </w:p>
    <w:p w14:paraId="2A73718E" w14:textId="77777777" w:rsidR="00B600F4" w:rsidRPr="007F182E" w:rsidRDefault="00C425CE" w:rsidP="006846F5">
      <w:pPr>
        <w:pStyle w:val="ListParagraph"/>
        <w:numPr>
          <w:ilvl w:val="0"/>
          <w:numId w:val="1"/>
        </w:numPr>
        <w:tabs>
          <w:tab w:val="left" w:pos="936"/>
        </w:tabs>
        <w:spacing w:before="38"/>
        <w:ind w:left="585" w:firstLine="9"/>
      </w:pPr>
      <w:r>
        <w:rPr>
          <w:lang w:val="es"/>
        </w:rPr>
        <w:t>La media, la SD, el CV y el número de mediciones implicadas del grupo del mes.</w:t>
      </w:r>
    </w:p>
    <w:p w14:paraId="29D81B78" w14:textId="77777777" w:rsidR="00B600F4" w:rsidRPr="007F182E" w:rsidRDefault="00C425CE" w:rsidP="006846F5">
      <w:pPr>
        <w:pStyle w:val="ListParagraph"/>
        <w:numPr>
          <w:ilvl w:val="0"/>
          <w:numId w:val="1"/>
        </w:numPr>
        <w:tabs>
          <w:tab w:val="left" w:pos="936"/>
        </w:tabs>
        <w:ind w:left="585" w:firstLine="9"/>
      </w:pPr>
      <w:r>
        <w:rPr>
          <w:lang w:val="es"/>
        </w:rPr>
        <w:t>La media del grupo acumulada o del LTD, la SD, el CV y el número de mediciones involucradas.</w:t>
      </w:r>
    </w:p>
    <w:sectPr w:rsidR="00B600F4" w:rsidRPr="007F182E" w:rsidSect="00282D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576" w:right="540" w:bottom="280" w:left="50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6982F" w14:textId="77777777" w:rsidR="00DB7B33" w:rsidRDefault="00DB7B33" w:rsidP="00282D57">
      <w:r>
        <w:separator/>
      </w:r>
    </w:p>
  </w:endnote>
  <w:endnote w:type="continuationSeparator" w:id="0">
    <w:p w14:paraId="582D80B6" w14:textId="77777777" w:rsidR="00DB7B33" w:rsidRDefault="00DB7B33" w:rsidP="00282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AF68C" w14:textId="77777777" w:rsidR="00B05433" w:rsidRDefault="00B054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A45CC" w14:textId="77777777" w:rsidR="00B05433" w:rsidRDefault="00B054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A9AB9" w14:textId="77777777" w:rsidR="00B05433" w:rsidRDefault="00B054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8B2B3" w14:textId="77777777" w:rsidR="00DB7B33" w:rsidRDefault="00DB7B33" w:rsidP="00282D57">
      <w:r>
        <w:separator/>
      </w:r>
    </w:p>
  </w:footnote>
  <w:footnote w:type="continuationSeparator" w:id="0">
    <w:p w14:paraId="56B080CF" w14:textId="77777777" w:rsidR="00DB7B33" w:rsidRDefault="00DB7B33" w:rsidP="00282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0F3E8" w14:textId="4D9BC701" w:rsidR="00282D57" w:rsidRDefault="00282D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B042F" w14:textId="6C2E564A" w:rsidR="00282D57" w:rsidRDefault="00282D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163A1" w14:textId="7F612A2C" w:rsidR="00282D57" w:rsidRDefault="00282D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25924"/>
    <w:multiLevelType w:val="hybridMultilevel"/>
    <w:tmpl w:val="F7AAD79E"/>
    <w:lvl w:ilvl="0" w:tplc="685639AE">
      <w:start w:val="1"/>
      <w:numFmt w:val="decimal"/>
      <w:lvlText w:val="%1."/>
      <w:lvlJc w:val="left"/>
      <w:pPr>
        <w:ind w:left="9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29D890EE">
      <w:numFmt w:val="bullet"/>
      <w:lvlText w:val="•"/>
      <w:lvlJc w:val="left"/>
      <w:pPr>
        <w:ind w:left="1932" w:hanging="360"/>
      </w:pPr>
      <w:rPr>
        <w:rFonts w:hint="default"/>
        <w:lang w:val="en-US" w:eastAsia="en-US" w:bidi="ar-SA"/>
      </w:rPr>
    </w:lvl>
    <w:lvl w:ilvl="2" w:tplc="7AB2A578">
      <w:numFmt w:val="bullet"/>
      <w:lvlText w:val="•"/>
      <w:lvlJc w:val="left"/>
      <w:pPr>
        <w:ind w:left="2925" w:hanging="360"/>
      </w:pPr>
      <w:rPr>
        <w:rFonts w:hint="default"/>
        <w:lang w:val="en-US" w:eastAsia="en-US" w:bidi="ar-SA"/>
      </w:rPr>
    </w:lvl>
    <w:lvl w:ilvl="3" w:tplc="6E1A47DE">
      <w:numFmt w:val="bullet"/>
      <w:lvlText w:val="•"/>
      <w:lvlJc w:val="left"/>
      <w:pPr>
        <w:ind w:left="3918" w:hanging="360"/>
      </w:pPr>
      <w:rPr>
        <w:rFonts w:hint="default"/>
        <w:lang w:val="en-US" w:eastAsia="en-US" w:bidi="ar-SA"/>
      </w:rPr>
    </w:lvl>
    <w:lvl w:ilvl="4" w:tplc="7C240A70">
      <w:numFmt w:val="bullet"/>
      <w:lvlText w:val="•"/>
      <w:lvlJc w:val="left"/>
      <w:pPr>
        <w:ind w:left="4911" w:hanging="360"/>
      </w:pPr>
      <w:rPr>
        <w:rFonts w:hint="default"/>
        <w:lang w:val="en-US" w:eastAsia="en-US" w:bidi="ar-SA"/>
      </w:rPr>
    </w:lvl>
    <w:lvl w:ilvl="5" w:tplc="BD98284C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6" w:tplc="73BC5A00">
      <w:numFmt w:val="bullet"/>
      <w:lvlText w:val="•"/>
      <w:lvlJc w:val="left"/>
      <w:pPr>
        <w:ind w:left="6897" w:hanging="360"/>
      </w:pPr>
      <w:rPr>
        <w:rFonts w:hint="default"/>
        <w:lang w:val="en-US" w:eastAsia="en-US" w:bidi="ar-SA"/>
      </w:rPr>
    </w:lvl>
    <w:lvl w:ilvl="7" w:tplc="41D4F272">
      <w:numFmt w:val="bullet"/>
      <w:lvlText w:val="•"/>
      <w:lvlJc w:val="left"/>
      <w:pPr>
        <w:ind w:left="7890" w:hanging="360"/>
      </w:pPr>
      <w:rPr>
        <w:rFonts w:hint="default"/>
        <w:lang w:val="en-US" w:eastAsia="en-US" w:bidi="ar-SA"/>
      </w:rPr>
    </w:lvl>
    <w:lvl w:ilvl="8" w:tplc="8DB4D58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</w:abstractNum>
  <w:num w:numId="1" w16cid:durableId="1222670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0F4"/>
    <w:rsid w:val="00032A7E"/>
    <w:rsid w:val="000C254E"/>
    <w:rsid w:val="00127FAE"/>
    <w:rsid w:val="00146E13"/>
    <w:rsid w:val="002052A0"/>
    <w:rsid w:val="00226252"/>
    <w:rsid w:val="00282D57"/>
    <w:rsid w:val="00355A72"/>
    <w:rsid w:val="00396890"/>
    <w:rsid w:val="003B465D"/>
    <w:rsid w:val="003C2A1B"/>
    <w:rsid w:val="00414813"/>
    <w:rsid w:val="0045784B"/>
    <w:rsid w:val="00457962"/>
    <w:rsid w:val="005040DD"/>
    <w:rsid w:val="00542FEF"/>
    <w:rsid w:val="00603A09"/>
    <w:rsid w:val="00621A95"/>
    <w:rsid w:val="006846F5"/>
    <w:rsid w:val="006D1BE9"/>
    <w:rsid w:val="006F6F96"/>
    <w:rsid w:val="007F182E"/>
    <w:rsid w:val="00817926"/>
    <w:rsid w:val="00935F65"/>
    <w:rsid w:val="00966D80"/>
    <w:rsid w:val="009C3EC6"/>
    <w:rsid w:val="00A91D7E"/>
    <w:rsid w:val="00AB203E"/>
    <w:rsid w:val="00B05433"/>
    <w:rsid w:val="00B600F4"/>
    <w:rsid w:val="00B65FAF"/>
    <w:rsid w:val="00B75F15"/>
    <w:rsid w:val="00B91EC5"/>
    <w:rsid w:val="00BE1312"/>
    <w:rsid w:val="00BE1ACA"/>
    <w:rsid w:val="00C25E18"/>
    <w:rsid w:val="00C425CE"/>
    <w:rsid w:val="00CA4ADF"/>
    <w:rsid w:val="00CE1DA0"/>
    <w:rsid w:val="00DB7B33"/>
    <w:rsid w:val="00DD4288"/>
    <w:rsid w:val="00F2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93D31F"/>
  <w15:docId w15:val="{C5F02DFF-848E-4EDD-936E-500995AA1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923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4"/>
      <w:ind w:left="940" w:hanging="361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Header">
    <w:name w:val="header"/>
    <w:basedOn w:val="Normal"/>
    <w:link w:val="HeaderChar"/>
    <w:uiPriority w:val="99"/>
    <w:unhideWhenUsed/>
    <w:rsid w:val="00282D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2D5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82D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2D57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282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137</cp:revision>
  <cp:lastPrinted>2024-12-10T08:42:00Z</cp:lastPrinted>
  <dcterms:created xsi:type="dcterms:W3CDTF">2024-12-05T07:29:00Z</dcterms:created>
  <dcterms:modified xsi:type="dcterms:W3CDTF">2025-05-01T19:15:00Z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2024-12-05T00:00:00Z</vt:filetime>
  </property>
</Properties>
</file>