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A1BC" w14:textId="5C227369" w:rsidR="008C1F83" w:rsidRPr="00626DFA" w:rsidRDefault="008C1F83" w:rsidP="001E44F0">
      <w:pPr>
        <w:tabs>
          <w:tab w:val="left" w:pos="15651"/>
        </w:tabs>
        <w:spacing w:before="91"/>
        <w:ind w:left="198"/>
        <w:rPr>
          <w:rFonts w:ascii="Arial"/>
          <w:color w:val="000000" w:themeColor="text1"/>
          <w:w w:val="105"/>
          <w:sz w:val="2"/>
          <w:szCs w:val="2"/>
          <w:shd w:val="clear" w:color="auto" w:fill="996633"/>
        </w:rPr>
      </w:pPr>
    </w:p>
    <w:tbl>
      <w:tblPr>
        <w:tblStyle w:val="TableGrid"/>
        <w:tblW w:w="15489" w:type="dxa"/>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489"/>
      </w:tblGrid>
      <w:tr w:rsidR="00626DFA" w14:paraId="5080CB4E" w14:textId="77777777" w:rsidTr="005531A4">
        <w:trPr>
          <w:trHeight w:val="333"/>
        </w:trPr>
        <w:tc>
          <w:tcPr>
            <w:tcW w:w="15489" w:type="dxa"/>
            <w:shd w:val="clear" w:color="auto" w:fill="996633"/>
          </w:tcPr>
          <w:p w14:paraId="242592E3" w14:textId="33B08EC2" w:rsidR="00626DFA" w:rsidRPr="00626DFA" w:rsidRDefault="00626DFA" w:rsidP="00626DFA">
            <w:pPr>
              <w:tabs>
                <w:tab w:val="left" w:pos="15651"/>
              </w:tabs>
              <w:rPr>
                <w:rFonts w:ascii="Arial" w:hAnsi="Arial" w:cs="Arial"/>
                <w:b/>
                <w:bCs/>
                <w:sz w:val="20"/>
                <w:szCs w:val="20"/>
              </w:rPr>
            </w:pPr>
            <w:r>
              <w:rPr>
                <w:rFonts w:ascii="Arial" w:hAnsi="Arial" w:cs="Arial"/>
                <w:b/>
                <w:bCs/>
                <w:color w:val="FFFFFF"/>
                <w:sz w:val="28"/>
                <w:szCs w:val="28"/>
                <w:lang w:val="es"/>
              </w:rPr>
              <w:t>Ayuda de trabajo 1: Comparación de los programas de Evaluación Externa de la Calidad (External Quality Assessment, EQA)</w:t>
            </w:r>
            <w:r>
              <w:rPr>
                <w:rFonts w:ascii="Arial" w:hAnsi="Arial" w:cs="Arial"/>
                <w:b/>
                <w:bCs/>
                <w:color w:val="FFFFFF"/>
                <w:sz w:val="28"/>
                <w:szCs w:val="28"/>
                <w:vertAlign w:val="superscript"/>
                <w:lang w:val="es"/>
              </w:rPr>
              <w:t>1214</w:t>
            </w:r>
          </w:p>
        </w:tc>
      </w:tr>
    </w:tbl>
    <w:p w14:paraId="63397533" w14:textId="77777777" w:rsidR="008C1F83" w:rsidRPr="00823EF6" w:rsidRDefault="00825C54" w:rsidP="00823EF6">
      <w:pPr>
        <w:pStyle w:val="BodyText"/>
        <w:spacing w:before="0" w:line="278" w:lineRule="auto"/>
        <w:rPr>
          <w:sz w:val="22"/>
          <w:szCs w:val="22"/>
        </w:rPr>
      </w:pPr>
      <w:r w:rsidRPr="00823EF6">
        <w:rPr>
          <w:b/>
          <w:bCs/>
          <w:szCs w:val="22"/>
          <w:lang w:val="es"/>
        </w:rPr>
        <w:t>Control de calidad interno:</w:t>
      </w:r>
      <w:r w:rsidRPr="00823EF6">
        <w:rPr>
          <w:sz w:val="22"/>
          <w:szCs w:val="22"/>
          <w:lang w:val="es"/>
        </w:rPr>
        <w:t xml:space="preserve"> un único laboratorio que analiza los controles y toma decisiones internas inmediatas sobre la aceptación o el rechazo de las ejecuciones analíticas. El control de calidad interno (Internal Quality Control, IQC) proporciona una buena estimación de la imprecisión del método al revisar la desviación estándar (Standard Deviation, SD) y el % de coeficiente de variación (CV).</w:t>
      </w:r>
    </w:p>
    <w:p w14:paraId="2E51FF71" w14:textId="77777777" w:rsidR="008C1F83" w:rsidRPr="00823EF6" w:rsidRDefault="00825C54" w:rsidP="00823EF6">
      <w:pPr>
        <w:pStyle w:val="BodyText"/>
        <w:spacing w:before="0" w:line="278" w:lineRule="auto"/>
        <w:ind w:right="182"/>
        <w:rPr>
          <w:sz w:val="22"/>
          <w:szCs w:val="22"/>
        </w:rPr>
      </w:pPr>
      <w:r w:rsidRPr="00823EF6">
        <w:rPr>
          <w:b/>
          <w:bCs/>
          <w:szCs w:val="22"/>
          <w:lang w:val="es"/>
        </w:rPr>
        <w:t>Control de calidad externo:</w:t>
      </w:r>
      <w:r w:rsidRPr="00823EF6">
        <w:rPr>
          <w:sz w:val="22"/>
          <w:szCs w:val="22"/>
          <w:lang w:val="es"/>
        </w:rPr>
        <w:t xml:space="preserve"> un programa que comprende a muchos laboratorios que analizan las mismas muestras (materiales de control o muestras de ensayos de aptitud [Proficiency Testing, PT]). Esto permite que los laboratorios individuales comparen su rendimiento con el de un grupo de pares. La EQC es útil para estimar el sesgo o la inexactitud de un método.</w:t>
      </w:r>
    </w:p>
    <w:p w14:paraId="1AC16AB2" w14:textId="77777777" w:rsidR="008C1F83" w:rsidRDefault="00825C54" w:rsidP="00823EF6">
      <w:pPr>
        <w:pStyle w:val="Title"/>
        <w:spacing w:before="120"/>
        <w:ind w:left="5328" w:right="5328"/>
      </w:pPr>
      <w:r>
        <w:rPr>
          <w:lang w:val="es"/>
        </w:rPr>
        <w:t>Comparación de programas de EQA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25"/>
        <w:gridCol w:w="6861"/>
        <w:gridCol w:w="6864"/>
      </w:tblGrid>
      <w:tr w:rsidR="008C1F83" w:rsidRPr="00823EF6" w14:paraId="2F18A9F0" w14:textId="77777777" w:rsidTr="00823EF6">
        <w:trPr>
          <w:trHeight w:val="268"/>
        </w:trPr>
        <w:tc>
          <w:tcPr>
            <w:tcW w:w="643" w:type="pct"/>
          </w:tcPr>
          <w:p w14:paraId="0926DD93" w14:textId="77777777" w:rsidR="008C1F83" w:rsidRPr="00823EF6" w:rsidRDefault="008C1F83">
            <w:pPr>
              <w:pStyle w:val="TableParagraph"/>
              <w:ind w:left="0"/>
              <w:rPr>
                <w:rFonts w:asciiTheme="minorHAnsi" w:hAnsiTheme="minorHAnsi" w:cstheme="minorHAnsi"/>
                <w:sz w:val="20"/>
                <w:szCs w:val="20"/>
              </w:rPr>
            </w:pPr>
          </w:p>
        </w:tc>
        <w:tc>
          <w:tcPr>
            <w:tcW w:w="2178" w:type="pct"/>
          </w:tcPr>
          <w:p w14:paraId="330EF8A4" w14:textId="77777777" w:rsidR="008C1F83" w:rsidRPr="00823EF6" w:rsidRDefault="00825C54">
            <w:pPr>
              <w:pStyle w:val="TableParagraph"/>
              <w:spacing w:line="248" w:lineRule="exact"/>
              <w:ind w:left="1949"/>
              <w:rPr>
                <w:rFonts w:asciiTheme="minorHAnsi" w:hAnsiTheme="minorHAnsi" w:cstheme="minorHAnsi"/>
                <w:b/>
                <w:sz w:val="20"/>
                <w:szCs w:val="20"/>
              </w:rPr>
            </w:pPr>
            <w:r w:rsidRPr="00823EF6">
              <w:rPr>
                <w:rFonts w:asciiTheme="minorHAnsi" w:hAnsiTheme="minorHAnsi" w:cstheme="minorHAnsi"/>
                <w:b/>
                <w:bCs/>
                <w:sz w:val="20"/>
                <w:szCs w:val="20"/>
                <w:lang w:val="es"/>
              </w:rPr>
              <w:t>Ensayo de aptitud (PT)</w:t>
            </w:r>
          </w:p>
        </w:tc>
        <w:tc>
          <w:tcPr>
            <w:tcW w:w="2179" w:type="pct"/>
          </w:tcPr>
          <w:p w14:paraId="606573CF" w14:textId="77777777" w:rsidR="008C1F83" w:rsidRPr="00823EF6" w:rsidRDefault="00825C54">
            <w:pPr>
              <w:pStyle w:val="TableParagraph"/>
              <w:spacing w:line="248" w:lineRule="exact"/>
              <w:ind w:left="1837"/>
              <w:rPr>
                <w:rFonts w:asciiTheme="minorHAnsi" w:hAnsiTheme="minorHAnsi" w:cstheme="minorHAnsi"/>
                <w:b/>
                <w:sz w:val="20"/>
                <w:szCs w:val="20"/>
              </w:rPr>
            </w:pPr>
            <w:r w:rsidRPr="00823EF6">
              <w:rPr>
                <w:rFonts w:asciiTheme="minorHAnsi" w:hAnsiTheme="minorHAnsi" w:cstheme="minorHAnsi"/>
                <w:b/>
                <w:bCs/>
                <w:sz w:val="20"/>
                <w:szCs w:val="20"/>
                <w:lang w:val="es"/>
              </w:rPr>
              <w:t>Comparación entre laboratorios</w:t>
            </w:r>
          </w:p>
        </w:tc>
      </w:tr>
      <w:tr w:rsidR="008C1F83" w:rsidRPr="00823EF6" w14:paraId="2AAE9B66" w14:textId="77777777" w:rsidTr="00823EF6">
        <w:trPr>
          <w:trHeight w:val="806"/>
        </w:trPr>
        <w:tc>
          <w:tcPr>
            <w:tcW w:w="643" w:type="pct"/>
          </w:tcPr>
          <w:p w14:paraId="603C1894" w14:textId="77777777" w:rsidR="008C1F83" w:rsidRPr="00823EF6" w:rsidRDefault="00825C54">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Descripción</w:t>
            </w:r>
          </w:p>
        </w:tc>
        <w:tc>
          <w:tcPr>
            <w:tcW w:w="2178" w:type="pct"/>
          </w:tcPr>
          <w:p w14:paraId="7C87CF09" w14:textId="77777777" w:rsidR="008C1F83" w:rsidRPr="00823EF6" w:rsidRDefault="00825C54" w:rsidP="001E44F0">
            <w:pPr>
              <w:pStyle w:val="TableParagraph"/>
              <w:ind w:right="536"/>
              <w:jc w:val="both"/>
              <w:rPr>
                <w:rFonts w:asciiTheme="minorHAnsi" w:hAnsiTheme="minorHAnsi" w:cstheme="minorHAnsi"/>
                <w:sz w:val="20"/>
                <w:szCs w:val="20"/>
              </w:rPr>
            </w:pPr>
            <w:r w:rsidRPr="00823EF6">
              <w:rPr>
                <w:rFonts w:asciiTheme="minorHAnsi" w:hAnsiTheme="minorHAnsi" w:cstheme="minorHAnsi"/>
                <w:sz w:val="20"/>
                <w:szCs w:val="20"/>
                <w:lang w:val="es"/>
              </w:rPr>
              <w:t>Muchos laboratorios que analizan las muestras de los ensayos de aptitud (PT) del mismo grupo envían los resultados de cada muestra al proveedor del PT</w:t>
            </w:r>
          </w:p>
        </w:tc>
        <w:tc>
          <w:tcPr>
            <w:tcW w:w="2179" w:type="pct"/>
          </w:tcPr>
          <w:p w14:paraId="0D2DA20E" w14:textId="13EF13A3" w:rsidR="008C1F83" w:rsidRPr="00823EF6" w:rsidRDefault="00825C54" w:rsidP="005E7F1B">
            <w:pPr>
              <w:pStyle w:val="TableParagraph"/>
              <w:ind w:left="104" w:right="47"/>
              <w:rPr>
                <w:rFonts w:asciiTheme="minorHAnsi" w:hAnsiTheme="minorHAnsi" w:cstheme="minorHAnsi"/>
                <w:sz w:val="20"/>
                <w:szCs w:val="20"/>
              </w:rPr>
            </w:pPr>
            <w:r w:rsidRPr="00823EF6">
              <w:rPr>
                <w:rFonts w:asciiTheme="minorHAnsi" w:hAnsiTheme="minorHAnsi" w:cstheme="minorHAnsi"/>
                <w:sz w:val="20"/>
                <w:szCs w:val="20"/>
                <w:lang w:val="es"/>
              </w:rPr>
              <w:t>Muchos laboratorios que analizan el mismo número de lote del material de control envían estadísticas resumidas mensuales (media, desviación estándar, número de mediciones de control) a una base de datos central.</w:t>
            </w:r>
          </w:p>
        </w:tc>
      </w:tr>
      <w:tr w:rsidR="008C1F83" w:rsidRPr="00823EF6" w14:paraId="7D58A470" w14:textId="77777777" w:rsidTr="00823EF6">
        <w:trPr>
          <w:trHeight w:val="1108"/>
        </w:trPr>
        <w:tc>
          <w:tcPr>
            <w:tcW w:w="643" w:type="pct"/>
          </w:tcPr>
          <w:p w14:paraId="078C72C2" w14:textId="77777777" w:rsidR="008C1F83" w:rsidRPr="00823EF6" w:rsidRDefault="00825C54">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Datos enviados</w:t>
            </w:r>
          </w:p>
        </w:tc>
        <w:tc>
          <w:tcPr>
            <w:tcW w:w="2178" w:type="pct"/>
          </w:tcPr>
          <w:p w14:paraId="321B3E61" w14:textId="77777777" w:rsidR="008C1F83" w:rsidRPr="00823EF6" w:rsidRDefault="00825C54">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Resultados obtenidos de las pruebas realizadas con muestras de PT:</w:t>
            </w:r>
          </w:p>
          <w:p w14:paraId="5A34CC6A" w14:textId="77777777" w:rsidR="008C1F83" w:rsidRPr="00823EF6" w:rsidRDefault="00825C54">
            <w:pPr>
              <w:pStyle w:val="TableParagraph"/>
              <w:numPr>
                <w:ilvl w:val="0"/>
                <w:numId w:val="4"/>
              </w:numPr>
              <w:tabs>
                <w:tab w:val="left" w:pos="542"/>
                <w:tab w:val="left" w:pos="543"/>
              </w:tabs>
              <w:spacing w:before="3"/>
              <w:ind w:hanging="361"/>
              <w:rPr>
                <w:rFonts w:asciiTheme="minorHAnsi" w:hAnsiTheme="minorHAnsi" w:cstheme="minorHAnsi"/>
                <w:sz w:val="20"/>
                <w:szCs w:val="20"/>
              </w:rPr>
            </w:pPr>
            <w:r w:rsidRPr="00823EF6">
              <w:rPr>
                <w:rFonts w:asciiTheme="minorHAnsi" w:hAnsiTheme="minorHAnsi" w:cstheme="minorHAnsi"/>
                <w:sz w:val="20"/>
                <w:szCs w:val="20"/>
                <w:lang w:val="es"/>
              </w:rPr>
              <w:t>Deben analizarse de la misma manera que las pruebas en pacientes.</w:t>
            </w:r>
          </w:p>
          <w:p w14:paraId="3692F768" w14:textId="77777777" w:rsidR="008C1F83" w:rsidRPr="00823EF6" w:rsidRDefault="00825C54">
            <w:pPr>
              <w:pStyle w:val="TableParagraph"/>
              <w:numPr>
                <w:ilvl w:val="0"/>
                <w:numId w:val="4"/>
              </w:numPr>
              <w:tabs>
                <w:tab w:val="left" w:pos="542"/>
                <w:tab w:val="left" w:pos="543"/>
              </w:tabs>
              <w:spacing w:before="3" w:line="280" w:lineRule="exact"/>
              <w:ind w:hanging="361"/>
              <w:rPr>
                <w:rFonts w:asciiTheme="minorHAnsi" w:hAnsiTheme="minorHAnsi" w:cstheme="minorHAnsi"/>
                <w:sz w:val="20"/>
                <w:szCs w:val="20"/>
              </w:rPr>
            </w:pPr>
            <w:r w:rsidRPr="00823EF6">
              <w:rPr>
                <w:rFonts w:asciiTheme="minorHAnsi" w:hAnsiTheme="minorHAnsi" w:cstheme="minorHAnsi"/>
                <w:sz w:val="20"/>
                <w:szCs w:val="20"/>
                <w:lang w:val="es"/>
              </w:rPr>
              <w:t>Se deben recibir y analizar de 1 a 5 muestras por disciplina.</w:t>
            </w:r>
          </w:p>
          <w:p w14:paraId="3F2A1A5C" w14:textId="77777777" w:rsidR="008C1F83" w:rsidRPr="00823EF6" w:rsidRDefault="00825C54">
            <w:pPr>
              <w:pStyle w:val="TableParagraph"/>
              <w:numPr>
                <w:ilvl w:val="0"/>
                <w:numId w:val="4"/>
              </w:numPr>
              <w:tabs>
                <w:tab w:val="left" w:pos="542"/>
                <w:tab w:val="left" w:pos="543"/>
              </w:tabs>
              <w:spacing w:line="258" w:lineRule="exact"/>
              <w:ind w:hanging="361"/>
              <w:rPr>
                <w:rFonts w:asciiTheme="minorHAnsi" w:hAnsiTheme="minorHAnsi" w:cstheme="minorHAnsi"/>
                <w:sz w:val="20"/>
                <w:szCs w:val="20"/>
              </w:rPr>
            </w:pPr>
            <w:r w:rsidRPr="00823EF6">
              <w:rPr>
                <w:rFonts w:asciiTheme="minorHAnsi" w:hAnsiTheme="minorHAnsi" w:cstheme="minorHAnsi"/>
                <w:sz w:val="20"/>
                <w:szCs w:val="20"/>
                <w:lang w:val="es"/>
              </w:rPr>
              <w:t>Las muestras pueden requerir una manipulación y reconstitución especiales.</w:t>
            </w:r>
          </w:p>
        </w:tc>
        <w:tc>
          <w:tcPr>
            <w:tcW w:w="2179" w:type="pct"/>
          </w:tcPr>
          <w:p w14:paraId="4D42237F" w14:textId="77777777" w:rsidR="008C1F83" w:rsidRPr="00823EF6" w:rsidRDefault="00825C54" w:rsidP="00161F06">
            <w:pPr>
              <w:pStyle w:val="TableParagraph"/>
              <w:ind w:left="104" w:right="362"/>
              <w:jc w:val="both"/>
              <w:rPr>
                <w:rFonts w:asciiTheme="minorHAnsi" w:hAnsiTheme="minorHAnsi" w:cstheme="minorHAnsi"/>
                <w:sz w:val="20"/>
                <w:szCs w:val="20"/>
              </w:rPr>
            </w:pPr>
            <w:r w:rsidRPr="00823EF6">
              <w:rPr>
                <w:rFonts w:asciiTheme="minorHAnsi" w:hAnsiTheme="minorHAnsi" w:cstheme="minorHAnsi"/>
                <w:sz w:val="20"/>
                <w:szCs w:val="20"/>
                <w:lang w:val="es"/>
              </w:rPr>
              <w:t>Resumen estadístico mensual calculado a partir de las pruebas de control de calidad de rutina según el programa del protocolo de control de calidad de su laboratorio.</w:t>
            </w:r>
          </w:p>
        </w:tc>
      </w:tr>
      <w:tr w:rsidR="008C1F83" w:rsidRPr="00823EF6" w14:paraId="0BDCEA26" w14:textId="77777777" w:rsidTr="00823EF6">
        <w:trPr>
          <w:trHeight w:val="268"/>
        </w:trPr>
        <w:tc>
          <w:tcPr>
            <w:tcW w:w="643" w:type="pct"/>
          </w:tcPr>
          <w:p w14:paraId="4CA94CB4" w14:textId="77777777" w:rsidR="008C1F83" w:rsidRPr="00823EF6" w:rsidRDefault="00825C54">
            <w:pPr>
              <w:pStyle w:val="TableParagraph"/>
              <w:spacing w:line="248" w:lineRule="exact"/>
              <w:rPr>
                <w:rFonts w:asciiTheme="minorHAnsi" w:hAnsiTheme="minorHAnsi" w:cstheme="minorHAnsi"/>
                <w:sz w:val="20"/>
                <w:szCs w:val="20"/>
              </w:rPr>
            </w:pPr>
            <w:r w:rsidRPr="00823EF6">
              <w:rPr>
                <w:rFonts w:asciiTheme="minorHAnsi" w:hAnsiTheme="minorHAnsi" w:cstheme="minorHAnsi"/>
                <w:sz w:val="20"/>
                <w:szCs w:val="20"/>
                <w:lang w:val="es"/>
              </w:rPr>
              <w:t>Frecuencia</w:t>
            </w:r>
          </w:p>
        </w:tc>
        <w:tc>
          <w:tcPr>
            <w:tcW w:w="2178" w:type="pct"/>
          </w:tcPr>
          <w:p w14:paraId="15F08483" w14:textId="77777777" w:rsidR="008C1F83" w:rsidRPr="00823EF6" w:rsidRDefault="00825C54">
            <w:pPr>
              <w:pStyle w:val="TableParagraph"/>
              <w:spacing w:line="248" w:lineRule="exact"/>
              <w:rPr>
                <w:rFonts w:asciiTheme="minorHAnsi" w:hAnsiTheme="minorHAnsi" w:cstheme="minorHAnsi"/>
                <w:sz w:val="20"/>
                <w:szCs w:val="20"/>
              </w:rPr>
            </w:pPr>
            <w:r w:rsidRPr="00823EF6">
              <w:rPr>
                <w:rFonts w:asciiTheme="minorHAnsi" w:hAnsiTheme="minorHAnsi" w:cstheme="minorHAnsi"/>
                <w:sz w:val="20"/>
                <w:szCs w:val="20"/>
                <w:lang w:val="es"/>
              </w:rPr>
              <w:t>De 2 a 4 pruebas al año (consulte el calendario de pruebas de PT).</w:t>
            </w:r>
          </w:p>
        </w:tc>
        <w:tc>
          <w:tcPr>
            <w:tcW w:w="2179" w:type="pct"/>
          </w:tcPr>
          <w:p w14:paraId="47185760" w14:textId="77777777" w:rsidR="008C1F83" w:rsidRPr="00823EF6" w:rsidRDefault="00825C54">
            <w:pPr>
              <w:pStyle w:val="TableParagraph"/>
              <w:spacing w:line="248" w:lineRule="exact"/>
              <w:ind w:left="104"/>
              <w:rPr>
                <w:rFonts w:asciiTheme="minorHAnsi" w:hAnsiTheme="minorHAnsi" w:cstheme="minorHAnsi"/>
                <w:sz w:val="20"/>
                <w:szCs w:val="20"/>
              </w:rPr>
            </w:pPr>
            <w:r w:rsidRPr="00823EF6">
              <w:rPr>
                <w:rFonts w:asciiTheme="minorHAnsi" w:hAnsiTheme="minorHAnsi" w:cstheme="minorHAnsi"/>
                <w:sz w:val="20"/>
                <w:szCs w:val="20"/>
                <w:lang w:val="es"/>
              </w:rPr>
              <w:t>Mensual.</w:t>
            </w:r>
          </w:p>
        </w:tc>
      </w:tr>
      <w:tr w:rsidR="008C1F83" w:rsidRPr="00823EF6" w14:paraId="035A00E1" w14:textId="77777777" w:rsidTr="00823EF6">
        <w:trPr>
          <w:trHeight w:val="926"/>
        </w:trPr>
        <w:tc>
          <w:tcPr>
            <w:tcW w:w="643" w:type="pct"/>
          </w:tcPr>
          <w:p w14:paraId="350F7957" w14:textId="77777777" w:rsidR="008C1F83" w:rsidRPr="00823EF6" w:rsidRDefault="00825C54">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Valores de la muestra</w:t>
            </w:r>
          </w:p>
        </w:tc>
        <w:tc>
          <w:tcPr>
            <w:tcW w:w="2178" w:type="pct"/>
          </w:tcPr>
          <w:p w14:paraId="2DAEC7A9" w14:textId="77777777" w:rsidR="008C1F83" w:rsidRPr="00823EF6" w:rsidRDefault="00825C54">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No conocidos en el momento de la prueba.</w:t>
            </w:r>
          </w:p>
        </w:tc>
        <w:tc>
          <w:tcPr>
            <w:tcW w:w="2179" w:type="pct"/>
          </w:tcPr>
          <w:p w14:paraId="252E7C0F" w14:textId="77777777" w:rsidR="008C1F83" w:rsidRPr="00823EF6" w:rsidRDefault="00825C54">
            <w:pPr>
              <w:pStyle w:val="TableParagraph"/>
              <w:spacing w:before="59"/>
              <w:ind w:left="104"/>
              <w:rPr>
                <w:rFonts w:asciiTheme="minorHAnsi" w:hAnsiTheme="minorHAnsi" w:cstheme="minorHAnsi"/>
                <w:sz w:val="20"/>
                <w:szCs w:val="20"/>
              </w:rPr>
            </w:pPr>
            <w:r w:rsidRPr="00823EF6">
              <w:rPr>
                <w:rFonts w:asciiTheme="minorHAnsi" w:hAnsiTheme="minorHAnsi" w:cstheme="minorHAnsi"/>
                <w:sz w:val="20"/>
                <w:szCs w:val="20"/>
                <w:lang w:val="es"/>
              </w:rPr>
              <w:t>Conocidos en el momento de la prueba: las nuevas mediciones de control deberían mostrar la misma distribución que las mediciones de control anteriores si el sistema es estable.</w:t>
            </w:r>
          </w:p>
        </w:tc>
      </w:tr>
      <w:tr w:rsidR="008C1F83" w:rsidRPr="00823EF6" w14:paraId="4AD4A8EE" w14:textId="77777777" w:rsidTr="00823EF6">
        <w:trPr>
          <w:trHeight w:val="268"/>
        </w:trPr>
        <w:tc>
          <w:tcPr>
            <w:tcW w:w="643" w:type="pct"/>
          </w:tcPr>
          <w:p w14:paraId="2EE05869" w14:textId="77777777" w:rsidR="008C1F83" w:rsidRPr="00823EF6" w:rsidRDefault="00825C54">
            <w:pPr>
              <w:pStyle w:val="TableParagraph"/>
              <w:spacing w:line="248" w:lineRule="exact"/>
              <w:rPr>
                <w:rFonts w:asciiTheme="minorHAnsi" w:hAnsiTheme="minorHAnsi" w:cstheme="minorHAnsi"/>
                <w:sz w:val="20"/>
                <w:szCs w:val="20"/>
              </w:rPr>
            </w:pPr>
            <w:r w:rsidRPr="00823EF6">
              <w:rPr>
                <w:rFonts w:asciiTheme="minorHAnsi" w:hAnsiTheme="minorHAnsi" w:cstheme="minorHAnsi"/>
                <w:sz w:val="20"/>
                <w:szCs w:val="20"/>
                <w:lang w:val="es"/>
              </w:rPr>
              <w:t>Proveedor</w:t>
            </w:r>
          </w:p>
        </w:tc>
        <w:tc>
          <w:tcPr>
            <w:tcW w:w="2178" w:type="pct"/>
          </w:tcPr>
          <w:p w14:paraId="6FAC6F1C" w14:textId="77777777" w:rsidR="008C1F83" w:rsidRPr="00823EF6" w:rsidRDefault="00825C54">
            <w:pPr>
              <w:pStyle w:val="TableParagraph"/>
              <w:spacing w:line="248" w:lineRule="exact"/>
              <w:rPr>
                <w:rFonts w:asciiTheme="minorHAnsi" w:hAnsiTheme="minorHAnsi" w:cstheme="minorHAnsi"/>
                <w:sz w:val="20"/>
                <w:szCs w:val="20"/>
              </w:rPr>
            </w:pPr>
            <w:r w:rsidRPr="00823EF6">
              <w:rPr>
                <w:rFonts w:asciiTheme="minorHAnsi" w:hAnsiTheme="minorHAnsi" w:cstheme="minorHAnsi"/>
                <w:sz w:val="20"/>
                <w:szCs w:val="20"/>
                <w:lang w:val="es"/>
              </w:rPr>
              <w:t>Proveedor de PT acreditado.</w:t>
            </w:r>
          </w:p>
        </w:tc>
        <w:tc>
          <w:tcPr>
            <w:tcW w:w="2179" w:type="pct"/>
          </w:tcPr>
          <w:p w14:paraId="452F8380" w14:textId="77777777" w:rsidR="008C1F83" w:rsidRPr="00823EF6" w:rsidRDefault="00825C54">
            <w:pPr>
              <w:pStyle w:val="TableParagraph"/>
              <w:spacing w:line="248" w:lineRule="exact"/>
              <w:ind w:left="104"/>
              <w:rPr>
                <w:rFonts w:asciiTheme="minorHAnsi" w:hAnsiTheme="minorHAnsi" w:cstheme="minorHAnsi"/>
                <w:sz w:val="20"/>
                <w:szCs w:val="20"/>
              </w:rPr>
            </w:pPr>
            <w:r w:rsidRPr="00823EF6">
              <w:rPr>
                <w:rFonts w:asciiTheme="minorHAnsi" w:hAnsiTheme="minorHAnsi" w:cstheme="minorHAnsi"/>
                <w:sz w:val="20"/>
                <w:szCs w:val="20"/>
                <w:lang w:val="es"/>
              </w:rPr>
              <w:t>Fabricantes de materiales de control de calidad.</w:t>
            </w:r>
          </w:p>
        </w:tc>
      </w:tr>
      <w:tr w:rsidR="008C1F83" w:rsidRPr="00823EF6" w14:paraId="2B29F898" w14:textId="77777777" w:rsidTr="00823EF6">
        <w:trPr>
          <w:trHeight w:val="1425"/>
        </w:trPr>
        <w:tc>
          <w:tcPr>
            <w:tcW w:w="643" w:type="pct"/>
          </w:tcPr>
          <w:p w14:paraId="5B618DB9" w14:textId="77777777" w:rsidR="008C1F83" w:rsidRPr="00823EF6" w:rsidRDefault="00825C54">
            <w:pPr>
              <w:pStyle w:val="TableParagraph"/>
              <w:rPr>
                <w:rFonts w:asciiTheme="minorHAnsi" w:hAnsiTheme="minorHAnsi" w:cstheme="minorHAnsi"/>
                <w:sz w:val="20"/>
                <w:szCs w:val="20"/>
              </w:rPr>
            </w:pPr>
            <w:r w:rsidRPr="00823EF6">
              <w:rPr>
                <w:rFonts w:asciiTheme="minorHAnsi" w:hAnsiTheme="minorHAnsi" w:cstheme="minorHAnsi"/>
                <w:sz w:val="20"/>
                <w:szCs w:val="20"/>
                <w:lang w:val="es"/>
              </w:rPr>
              <w:t>Información proporcionada por el servicio</w:t>
            </w:r>
          </w:p>
        </w:tc>
        <w:tc>
          <w:tcPr>
            <w:tcW w:w="2178" w:type="pct"/>
          </w:tcPr>
          <w:p w14:paraId="4886D530" w14:textId="77777777" w:rsidR="008C1F83" w:rsidRPr="00823EF6" w:rsidRDefault="00825C54" w:rsidP="001E44F0">
            <w:pPr>
              <w:pStyle w:val="TableParagraph"/>
              <w:numPr>
                <w:ilvl w:val="0"/>
                <w:numId w:val="3"/>
              </w:numPr>
              <w:tabs>
                <w:tab w:val="left" w:pos="542"/>
                <w:tab w:val="left" w:pos="543"/>
              </w:tabs>
              <w:spacing w:before="42"/>
              <w:ind w:right="191"/>
              <w:jc w:val="both"/>
              <w:rPr>
                <w:rFonts w:asciiTheme="minorHAnsi" w:hAnsiTheme="minorHAnsi" w:cstheme="minorHAnsi"/>
                <w:sz w:val="20"/>
                <w:szCs w:val="20"/>
              </w:rPr>
            </w:pPr>
            <w:r w:rsidRPr="00823EF6">
              <w:rPr>
                <w:rFonts w:asciiTheme="minorHAnsi" w:hAnsiTheme="minorHAnsi" w:cstheme="minorHAnsi"/>
                <w:sz w:val="20"/>
                <w:szCs w:val="20"/>
                <w:lang w:val="es"/>
              </w:rPr>
              <w:t>Obtiene información instantánea sobre el rendimiento de la prueba para un analito determinado en un momento específico.</w:t>
            </w:r>
          </w:p>
          <w:p w14:paraId="77AD6A40" w14:textId="77777777" w:rsidR="008C1F83" w:rsidRPr="00823EF6" w:rsidRDefault="00825C54">
            <w:pPr>
              <w:pStyle w:val="TableParagraph"/>
              <w:numPr>
                <w:ilvl w:val="0"/>
                <w:numId w:val="3"/>
              </w:numPr>
              <w:tabs>
                <w:tab w:val="left" w:pos="542"/>
                <w:tab w:val="left" w:pos="543"/>
              </w:tabs>
              <w:spacing w:line="240" w:lineRule="exact"/>
              <w:ind w:hanging="361"/>
              <w:rPr>
                <w:rFonts w:asciiTheme="minorHAnsi" w:hAnsiTheme="minorHAnsi" w:cstheme="minorHAnsi"/>
                <w:sz w:val="20"/>
                <w:szCs w:val="20"/>
              </w:rPr>
            </w:pPr>
            <w:r w:rsidRPr="00823EF6">
              <w:rPr>
                <w:rFonts w:asciiTheme="minorHAnsi" w:hAnsiTheme="minorHAnsi" w:cstheme="minorHAnsi"/>
                <w:sz w:val="20"/>
                <w:szCs w:val="20"/>
                <w:lang w:val="es"/>
              </w:rPr>
              <w:t>Califica su rendimiento.</w:t>
            </w:r>
          </w:p>
          <w:p w14:paraId="52D214F5" w14:textId="77777777" w:rsidR="008C1F83" w:rsidRPr="00823EF6" w:rsidRDefault="00825C54" w:rsidP="006328A1">
            <w:pPr>
              <w:pStyle w:val="TableParagraph"/>
              <w:numPr>
                <w:ilvl w:val="0"/>
                <w:numId w:val="3"/>
              </w:numPr>
              <w:tabs>
                <w:tab w:val="left" w:pos="542"/>
                <w:tab w:val="left" w:pos="543"/>
              </w:tabs>
              <w:spacing w:line="268" w:lineRule="exact"/>
              <w:ind w:right="135"/>
              <w:jc w:val="both"/>
              <w:rPr>
                <w:rFonts w:asciiTheme="minorHAnsi" w:hAnsiTheme="minorHAnsi" w:cstheme="minorHAnsi"/>
                <w:sz w:val="20"/>
                <w:szCs w:val="20"/>
              </w:rPr>
            </w:pPr>
            <w:r w:rsidRPr="00823EF6">
              <w:rPr>
                <w:rFonts w:asciiTheme="minorHAnsi" w:hAnsiTheme="minorHAnsi" w:cstheme="minorHAnsi"/>
                <w:sz w:val="20"/>
                <w:szCs w:val="20"/>
                <w:lang w:val="es"/>
              </w:rPr>
              <w:t>Proporciona una idea sobre la cantidad de sesgo presente en el sistema analítico.</w:t>
            </w:r>
          </w:p>
        </w:tc>
        <w:tc>
          <w:tcPr>
            <w:tcW w:w="2179" w:type="pct"/>
          </w:tcPr>
          <w:p w14:paraId="607AD0A5" w14:textId="77777777" w:rsidR="008C1F83" w:rsidRPr="00823EF6" w:rsidRDefault="00825C54">
            <w:pPr>
              <w:pStyle w:val="TableParagraph"/>
              <w:numPr>
                <w:ilvl w:val="0"/>
                <w:numId w:val="2"/>
              </w:numPr>
              <w:tabs>
                <w:tab w:val="left" w:pos="627"/>
                <w:tab w:val="left" w:pos="628"/>
              </w:tabs>
              <w:spacing w:line="280" w:lineRule="exact"/>
              <w:ind w:hanging="361"/>
              <w:rPr>
                <w:rFonts w:asciiTheme="minorHAnsi" w:hAnsiTheme="minorHAnsi" w:cstheme="minorHAnsi"/>
                <w:sz w:val="20"/>
                <w:szCs w:val="20"/>
              </w:rPr>
            </w:pPr>
            <w:r w:rsidRPr="00823EF6">
              <w:rPr>
                <w:rFonts w:asciiTheme="minorHAnsi" w:hAnsiTheme="minorHAnsi" w:cstheme="minorHAnsi"/>
                <w:sz w:val="20"/>
                <w:szCs w:val="20"/>
                <w:lang w:val="es"/>
              </w:rPr>
              <w:t>Describe su rendimiento en relación con sus pares.</w:t>
            </w:r>
          </w:p>
          <w:p w14:paraId="62A33B62" w14:textId="77777777" w:rsidR="008C1F83" w:rsidRPr="00823EF6" w:rsidRDefault="00825C54">
            <w:pPr>
              <w:pStyle w:val="TableParagraph"/>
              <w:numPr>
                <w:ilvl w:val="0"/>
                <w:numId w:val="2"/>
              </w:numPr>
              <w:tabs>
                <w:tab w:val="left" w:pos="627"/>
                <w:tab w:val="left" w:pos="628"/>
              </w:tabs>
              <w:spacing w:before="3"/>
              <w:ind w:hanging="361"/>
              <w:rPr>
                <w:rFonts w:asciiTheme="minorHAnsi" w:hAnsiTheme="minorHAnsi" w:cstheme="minorHAnsi"/>
                <w:sz w:val="20"/>
                <w:szCs w:val="20"/>
              </w:rPr>
            </w:pPr>
            <w:r w:rsidRPr="00823EF6">
              <w:rPr>
                <w:rFonts w:asciiTheme="minorHAnsi" w:hAnsiTheme="minorHAnsi" w:cstheme="minorHAnsi"/>
                <w:sz w:val="20"/>
                <w:szCs w:val="20"/>
                <w:lang w:val="es"/>
              </w:rPr>
              <w:t>Excelente fuente para determinar el valor objetivo de cada control.</w:t>
            </w:r>
          </w:p>
        </w:tc>
      </w:tr>
      <w:tr w:rsidR="008C1F83" w:rsidRPr="00823EF6" w14:paraId="2C6F48B1" w14:textId="77777777" w:rsidTr="00823EF6">
        <w:trPr>
          <w:trHeight w:val="537"/>
        </w:trPr>
        <w:tc>
          <w:tcPr>
            <w:tcW w:w="643" w:type="pct"/>
          </w:tcPr>
          <w:p w14:paraId="04329878" w14:textId="77777777" w:rsidR="008C1F83" w:rsidRPr="00823EF6" w:rsidRDefault="00825C54">
            <w:pPr>
              <w:pStyle w:val="TableParagraph"/>
              <w:spacing w:before="1"/>
              <w:rPr>
                <w:rFonts w:asciiTheme="minorHAnsi" w:hAnsiTheme="minorHAnsi" w:cstheme="minorHAnsi"/>
                <w:sz w:val="20"/>
                <w:szCs w:val="20"/>
              </w:rPr>
            </w:pPr>
            <w:r w:rsidRPr="00823EF6">
              <w:rPr>
                <w:rFonts w:asciiTheme="minorHAnsi" w:hAnsiTheme="minorHAnsi" w:cstheme="minorHAnsi"/>
                <w:sz w:val="20"/>
                <w:szCs w:val="20"/>
                <w:lang w:val="es"/>
              </w:rPr>
              <w:t>Costo</w:t>
            </w:r>
          </w:p>
        </w:tc>
        <w:tc>
          <w:tcPr>
            <w:tcW w:w="2178" w:type="pct"/>
          </w:tcPr>
          <w:p w14:paraId="240FDE61" w14:textId="77777777" w:rsidR="008C1F83" w:rsidRPr="00823EF6" w:rsidRDefault="00825C54">
            <w:pPr>
              <w:pStyle w:val="TableParagraph"/>
              <w:spacing w:before="1"/>
              <w:rPr>
                <w:rFonts w:asciiTheme="minorHAnsi" w:hAnsiTheme="minorHAnsi" w:cstheme="minorHAnsi"/>
                <w:sz w:val="20"/>
                <w:szCs w:val="20"/>
              </w:rPr>
            </w:pPr>
            <w:r w:rsidRPr="00823EF6">
              <w:rPr>
                <w:rFonts w:asciiTheme="minorHAnsi" w:hAnsiTheme="minorHAnsi" w:cstheme="minorHAnsi"/>
                <w:sz w:val="20"/>
                <w:szCs w:val="20"/>
                <w:lang w:val="es"/>
              </w:rPr>
              <w:t>Costos adicionales para participar en el programa de pruebas de un proveedor de PT.</w:t>
            </w:r>
          </w:p>
        </w:tc>
        <w:tc>
          <w:tcPr>
            <w:tcW w:w="2179" w:type="pct"/>
          </w:tcPr>
          <w:p w14:paraId="0FD2FE37" w14:textId="77777777" w:rsidR="008C1F83" w:rsidRPr="00823EF6" w:rsidRDefault="00825C54">
            <w:pPr>
              <w:pStyle w:val="TableParagraph"/>
              <w:spacing w:line="270" w:lineRule="atLeast"/>
              <w:ind w:left="104"/>
              <w:rPr>
                <w:rFonts w:asciiTheme="minorHAnsi" w:hAnsiTheme="minorHAnsi" w:cstheme="minorHAnsi"/>
                <w:sz w:val="20"/>
                <w:szCs w:val="20"/>
              </w:rPr>
            </w:pPr>
            <w:r w:rsidRPr="00823EF6">
              <w:rPr>
                <w:rFonts w:asciiTheme="minorHAnsi" w:hAnsiTheme="minorHAnsi" w:cstheme="minorHAnsi"/>
                <w:sz w:val="20"/>
                <w:szCs w:val="20"/>
                <w:lang w:val="es"/>
              </w:rPr>
              <w:t>Por lo general, no existen costos adicionales para participar; el servicio se proporciona con la compra de materiales de control de calidad.</w:t>
            </w:r>
          </w:p>
        </w:tc>
      </w:tr>
      <w:tr w:rsidR="008C1F83" w:rsidRPr="00823EF6" w14:paraId="38C23151" w14:textId="77777777" w:rsidTr="00823EF6">
        <w:trPr>
          <w:trHeight w:val="535"/>
        </w:trPr>
        <w:tc>
          <w:tcPr>
            <w:tcW w:w="643" w:type="pct"/>
          </w:tcPr>
          <w:p w14:paraId="11A69B98" w14:textId="08BB5670" w:rsidR="008C1F83" w:rsidRPr="00823EF6" w:rsidRDefault="00825C54" w:rsidP="009C7BA1">
            <w:pPr>
              <w:pStyle w:val="TableParagraph"/>
              <w:spacing w:line="265" w:lineRule="exact"/>
              <w:rPr>
                <w:rFonts w:asciiTheme="minorHAnsi" w:hAnsiTheme="minorHAnsi" w:cstheme="minorHAnsi"/>
                <w:sz w:val="20"/>
                <w:szCs w:val="20"/>
              </w:rPr>
            </w:pPr>
            <w:r w:rsidRPr="00823EF6">
              <w:rPr>
                <w:rFonts w:asciiTheme="minorHAnsi" w:hAnsiTheme="minorHAnsi" w:cstheme="minorHAnsi"/>
                <w:sz w:val="20"/>
                <w:szCs w:val="20"/>
                <w:lang w:val="es"/>
              </w:rPr>
              <w:t>Tiempo de respuesta (Turnaround Time, TAT) para la recepción del informe</w:t>
            </w:r>
          </w:p>
        </w:tc>
        <w:tc>
          <w:tcPr>
            <w:tcW w:w="2178" w:type="pct"/>
          </w:tcPr>
          <w:p w14:paraId="3C122716" w14:textId="4FEDEF7B" w:rsidR="008C1F83" w:rsidRPr="00823EF6" w:rsidRDefault="00825C54" w:rsidP="007705B7">
            <w:pPr>
              <w:pStyle w:val="TableParagraph"/>
              <w:spacing w:line="265" w:lineRule="exact"/>
              <w:ind w:right="131"/>
              <w:jc w:val="both"/>
              <w:rPr>
                <w:rFonts w:asciiTheme="minorHAnsi" w:hAnsiTheme="minorHAnsi" w:cstheme="minorHAnsi"/>
                <w:sz w:val="20"/>
                <w:szCs w:val="20"/>
              </w:rPr>
            </w:pPr>
            <w:r w:rsidRPr="00823EF6">
              <w:rPr>
                <w:rFonts w:asciiTheme="minorHAnsi" w:hAnsiTheme="minorHAnsi" w:cstheme="minorHAnsi"/>
                <w:sz w:val="20"/>
                <w:szCs w:val="20"/>
                <w:lang w:val="es"/>
              </w:rPr>
              <w:t>El tiempo que transcurre entre la recepción de las muestras de PT para las pruebas y la devolución del informe para su revisión puede ser de algunos meses.</w:t>
            </w:r>
          </w:p>
        </w:tc>
        <w:tc>
          <w:tcPr>
            <w:tcW w:w="2179" w:type="pct"/>
          </w:tcPr>
          <w:p w14:paraId="002C2633" w14:textId="4E166BDC" w:rsidR="008C1F83" w:rsidRPr="00823EF6" w:rsidRDefault="00825C54" w:rsidP="00161F06">
            <w:pPr>
              <w:pStyle w:val="TableParagraph"/>
              <w:spacing w:line="265" w:lineRule="exact"/>
              <w:ind w:left="104" w:right="794"/>
              <w:jc w:val="both"/>
              <w:rPr>
                <w:rFonts w:asciiTheme="minorHAnsi" w:hAnsiTheme="minorHAnsi" w:cstheme="minorHAnsi"/>
                <w:sz w:val="20"/>
                <w:szCs w:val="20"/>
              </w:rPr>
            </w:pPr>
            <w:r w:rsidRPr="00823EF6">
              <w:rPr>
                <w:rFonts w:asciiTheme="minorHAnsi" w:hAnsiTheme="minorHAnsi" w:cstheme="minorHAnsi"/>
                <w:sz w:val="20"/>
                <w:szCs w:val="20"/>
                <w:lang w:val="es"/>
              </w:rPr>
              <w:t>Muchos fabricantes ofrecen servicios en línea para obtener información actualizada.</w:t>
            </w:r>
          </w:p>
        </w:tc>
      </w:tr>
      <w:tr w:rsidR="008C1F83" w:rsidRPr="00823EF6" w14:paraId="12132C42" w14:textId="77777777" w:rsidTr="00823EF6">
        <w:trPr>
          <w:trHeight w:val="537"/>
        </w:trPr>
        <w:tc>
          <w:tcPr>
            <w:tcW w:w="643" w:type="pct"/>
          </w:tcPr>
          <w:p w14:paraId="0CEAD283" w14:textId="77777777" w:rsidR="008C1F83" w:rsidRPr="00823EF6" w:rsidRDefault="00825C54">
            <w:pPr>
              <w:pStyle w:val="TableParagraph"/>
              <w:spacing w:before="1"/>
              <w:rPr>
                <w:rFonts w:asciiTheme="minorHAnsi" w:hAnsiTheme="minorHAnsi" w:cstheme="minorHAnsi"/>
                <w:sz w:val="20"/>
                <w:szCs w:val="20"/>
              </w:rPr>
            </w:pPr>
            <w:r w:rsidRPr="00823EF6">
              <w:rPr>
                <w:rFonts w:asciiTheme="minorHAnsi" w:hAnsiTheme="minorHAnsi" w:cstheme="minorHAnsi"/>
                <w:sz w:val="20"/>
                <w:szCs w:val="20"/>
                <w:lang w:val="es"/>
              </w:rPr>
              <w:t>Obstáculo</w:t>
            </w:r>
          </w:p>
        </w:tc>
        <w:tc>
          <w:tcPr>
            <w:tcW w:w="2178" w:type="pct"/>
          </w:tcPr>
          <w:p w14:paraId="72A6F767" w14:textId="17D82187" w:rsidR="008C1F83" w:rsidRPr="00823EF6" w:rsidRDefault="00825C54" w:rsidP="00E1194E">
            <w:pPr>
              <w:pStyle w:val="TableParagraph"/>
              <w:spacing w:before="1" w:line="266" w:lineRule="exact"/>
              <w:ind w:right="275"/>
              <w:jc w:val="both"/>
              <w:rPr>
                <w:rFonts w:asciiTheme="minorHAnsi" w:hAnsiTheme="minorHAnsi" w:cstheme="minorHAnsi"/>
                <w:sz w:val="20"/>
                <w:szCs w:val="20"/>
              </w:rPr>
            </w:pPr>
            <w:r w:rsidRPr="00823EF6">
              <w:rPr>
                <w:rFonts w:asciiTheme="minorHAnsi" w:hAnsiTheme="minorHAnsi" w:cstheme="minorHAnsi"/>
                <w:sz w:val="20"/>
                <w:szCs w:val="20"/>
                <w:lang w:val="es"/>
              </w:rPr>
              <w:t>Si el TAT de los informes es prolongado, es posible que los laboratorios no puedan detectar ni corregir a tiempo los problemas que afectan la calidad.</w:t>
            </w:r>
          </w:p>
        </w:tc>
        <w:tc>
          <w:tcPr>
            <w:tcW w:w="2179" w:type="pct"/>
          </w:tcPr>
          <w:p w14:paraId="0A6E303E" w14:textId="77777777" w:rsidR="008C1F83" w:rsidRPr="00823EF6" w:rsidRDefault="00825C54">
            <w:pPr>
              <w:pStyle w:val="TableParagraph"/>
              <w:spacing w:before="1" w:line="266" w:lineRule="exact"/>
              <w:ind w:left="104"/>
              <w:rPr>
                <w:rFonts w:asciiTheme="minorHAnsi" w:hAnsiTheme="minorHAnsi" w:cstheme="minorHAnsi"/>
                <w:sz w:val="20"/>
                <w:szCs w:val="20"/>
              </w:rPr>
            </w:pPr>
            <w:r w:rsidRPr="00823EF6">
              <w:rPr>
                <w:rFonts w:asciiTheme="minorHAnsi" w:hAnsiTheme="minorHAnsi" w:cstheme="minorHAnsi"/>
                <w:sz w:val="20"/>
                <w:szCs w:val="20"/>
                <w:lang w:val="es"/>
              </w:rPr>
              <w:t>El fabricante de los materiales de control de calidad utilizados para el método</w:t>
            </w:r>
          </w:p>
          <w:p w14:paraId="403D7DE2" w14:textId="77777777" w:rsidR="008C1F83" w:rsidRPr="00823EF6" w:rsidRDefault="00825C54">
            <w:pPr>
              <w:pStyle w:val="TableParagraph"/>
              <w:spacing w:line="249" w:lineRule="exact"/>
              <w:ind w:left="104"/>
              <w:rPr>
                <w:rFonts w:asciiTheme="minorHAnsi" w:hAnsiTheme="minorHAnsi" w:cstheme="minorHAnsi"/>
                <w:sz w:val="20"/>
                <w:szCs w:val="20"/>
              </w:rPr>
            </w:pPr>
            <w:r w:rsidRPr="00823EF6">
              <w:rPr>
                <w:rFonts w:asciiTheme="minorHAnsi" w:hAnsiTheme="minorHAnsi" w:cstheme="minorHAnsi"/>
                <w:sz w:val="20"/>
                <w:szCs w:val="20"/>
                <w:lang w:val="es"/>
              </w:rPr>
              <w:t>no proporciona este servicio.</w:t>
            </w:r>
          </w:p>
        </w:tc>
      </w:tr>
      <w:tr w:rsidR="008C1F83" w:rsidRPr="00823EF6" w14:paraId="6E64C6DC" w14:textId="77777777" w:rsidTr="00823EF6">
        <w:trPr>
          <w:trHeight w:val="830"/>
        </w:trPr>
        <w:tc>
          <w:tcPr>
            <w:tcW w:w="643" w:type="pct"/>
          </w:tcPr>
          <w:p w14:paraId="04959BB3" w14:textId="77777777" w:rsidR="008C1F83" w:rsidRPr="00823EF6" w:rsidRDefault="00825C54">
            <w:pPr>
              <w:pStyle w:val="TableParagraph"/>
              <w:spacing w:before="2"/>
              <w:rPr>
                <w:rFonts w:asciiTheme="minorHAnsi" w:hAnsiTheme="minorHAnsi" w:cstheme="minorHAnsi"/>
                <w:sz w:val="20"/>
                <w:szCs w:val="20"/>
              </w:rPr>
            </w:pPr>
            <w:r w:rsidRPr="00823EF6">
              <w:rPr>
                <w:rFonts w:asciiTheme="minorHAnsi" w:hAnsiTheme="minorHAnsi" w:cstheme="minorHAnsi"/>
                <w:sz w:val="20"/>
                <w:szCs w:val="20"/>
                <w:lang w:val="es"/>
              </w:rPr>
              <w:t>Cumplimiento</w:t>
            </w:r>
          </w:p>
        </w:tc>
        <w:tc>
          <w:tcPr>
            <w:tcW w:w="2178" w:type="pct"/>
          </w:tcPr>
          <w:p w14:paraId="7A82CC95" w14:textId="77777777" w:rsidR="008C1F83" w:rsidRPr="00823EF6" w:rsidRDefault="00825C54">
            <w:pPr>
              <w:pStyle w:val="TableParagraph"/>
              <w:spacing w:before="2"/>
              <w:rPr>
                <w:rFonts w:asciiTheme="minorHAnsi" w:hAnsiTheme="minorHAnsi" w:cstheme="minorHAnsi"/>
                <w:sz w:val="20"/>
                <w:szCs w:val="20"/>
              </w:rPr>
            </w:pPr>
            <w:r w:rsidRPr="00823EF6">
              <w:rPr>
                <w:rFonts w:asciiTheme="minorHAnsi" w:hAnsiTheme="minorHAnsi" w:cstheme="minorHAnsi"/>
                <w:sz w:val="20"/>
                <w:szCs w:val="20"/>
                <w:lang w:val="es"/>
              </w:rPr>
              <w:t>Requerido por muchos organismos reguladores y de acreditación.</w:t>
            </w:r>
          </w:p>
        </w:tc>
        <w:tc>
          <w:tcPr>
            <w:tcW w:w="2179" w:type="pct"/>
          </w:tcPr>
          <w:p w14:paraId="06EF76EE" w14:textId="77777777" w:rsidR="008C1F83" w:rsidRPr="00823EF6" w:rsidRDefault="00825C54">
            <w:pPr>
              <w:pStyle w:val="TableParagraph"/>
              <w:numPr>
                <w:ilvl w:val="0"/>
                <w:numId w:val="1"/>
              </w:numPr>
              <w:tabs>
                <w:tab w:val="left" w:pos="627"/>
                <w:tab w:val="left" w:pos="628"/>
              </w:tabs>
              <w:spacing w:before="4" w:line="279" w:lineRule="exact"/>
              <w:ind w:hanging="361"/>
              <w:rPr>
                <w:rFonts w:asciiTheme="minorHAnsi" w:hAnsiTheme="minorHAnsi" w:cstheme="minorHAnsi"/>
                <w:sz w:val="20"/>
                <w:szCs w:val="20"/>
              </w:rPr>
            </w:pPr>
            <w:r w:rsidRPr="00823EF6">
              <w:rPr>
                <w:rFonts w:asciiTheme="minorHAnsi" w:hAnsiTheme="minorHAnsi" w:cstheme="minorHAnsi"/>
                <w:sz w:val="20"/>
                <w:szCs w:val="20"/>
                <w:lang w:val="es"/>
              </w:rPr>
              <w:t>Opcional, pero muy recomendable si se ofrece el servicio.</w:t>
            </w:r>
          </w:p>
          <w:p w14:paraId="2BB2333F" w14:textId="77777777" w:rsidR="008C1F83" w:rsidRPr="00823EF6" w:rsidRDefault="00825C54">
            <w:pPr>
              <w:pStyle w:val="TableParagraph"/>
              <w:numPr>
                <w:ilvl w:val="0"/>
                <w:numId w:val="1"/>
              </w:numPr>
              <w:tabs>
                <w:tab w:val="left" w:pos="627"/>
                <w:tab w:val="left" w:pos="628"/>
              </w:tabs>
              <w:spacing w:line="264" w:lineRule="exact"/>
              <w:ind w:right="1001"/>
              <w:rPr>
                <w:rFonts w:asciiTheme="minorHAnsi" w:hAnsiTheme="minorHAnsi" w:cstheme="minorHAnsi"/>
                <w:sz w:val="20"/>
                <w:szCs w:val="20"/>
              </w:rPr>
            </w:pPr>
            <w:r w:rsidRPr="00823EF6">
              <w:rPr>
                <w:rFonts w:asciiTheme="minorHAnsi" w:hAnsiTheme="minorHAnsi" w:cstheme="minorHAnsi"/>
                <w:sz w:val="20"/>
                <w:szCs w:val="20"/>
                <w:lang w:val="es"/>
              </w:rPr>
              <w:t>La participación puede ajustarse a los requisitos reglamentarios y de acreditación relativos al analito en algunos países.</w:t>
            </w:r>
          </w:p>
        </w:tc>
      </w:tr>
    </w:tbl>
    <w:p w14:paraId="2B2DD0FF" w14:textId="77777777" w:rsidR="009763E0" w:rsidRPr="00823EF6" w:rsidRDefault="009763E0">
      <w:pPr>
        <w:rPr>
          <w:sz w:val="4"/>
          <w:szCs w:val="4"/>
        </w:rPr>
      </w:pPr>
    </w:p>
    <w:sectPr w:rsidR="009763E0" w:rsidRPr="00823EF6" w:rsidSect="00626DFA">
      <w:headerReference w:type="even" r:id="rId7"/>
      <w:headerReference w:type="default" r:id="rId8"/>
      <w:footerReference w:type="even" r:id="rId9"/>
      <w:footerReference w:type="default" r:id="rId10"/>
      <w:headerReference w:type="first" r:id="rId11"/>
      <w:footerReference w:type="first" r:id="rId12"/>
      <w:type w:val="continuous"/>
      <w:pgSz w:w="16840" w:h="11910" w:orient="landscape"/>
      <w:pgMar w:top="270" w:right="580" w:bottom="280" w:left="50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59C8" w14:textId="77777777" w:rsidR="00457788" w:rsidRDefault="00457788" w:rsidP="001E44F0">
      <w:r>
        <w:separator/>
      </w:r>
    </w:p>
  </w:endnote>
  <w:endnote w:type="continuationSeparator" w:id="0">
    <w:p w14:paraId="5A021C9A" w14:textId="77777777" w:rsidR="00457788" w:rsidRDefault="00457788" w:rsidP="001E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C60A" w14:textId="77777777" w:rsidR="00825C54" w:rsidRDefault="00825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58E7" w14:textId="77777777" w:rsidR="00825C54" w:rsidRDefault="00825C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F3BB" w14:textId="77777777" w:rsidR="00825C54" w:rsidRDefault="00825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45AD" w14:textId="77777777" w:rsidR="00457788" w:rsidRDefault="00457788" w:rsidP="001E44F0">
      <w:r>
        <w:separator/>
      </w:r>
    </w:p>
  </w:footnote>
  <w:footnote w:type="continuationSeparator" w:id="0">
    <w:p w14:paraId="5BC0B343" w14:textId="77777777" w:rsidR="00457788" w:rsidRDefault="00457788" w:rsidP="001E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061A" w14:textId="55E57FAA" w:rsidR="001E44F0" w:rsidRDefault="001E4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FD73" w14:textId="605F8BCD" w:rsidR="001E44F0" w:rsidRPr="00626DFA" w:rsidRDefault="001E44F0">
    <w:pPr>
      <w:pStyle w:val="Header"/>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87B5" w14:textId="5829C7DE" w:rsidR="001E44F0" w:rsidRDefault="001E4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7529"/>
    <w:multiLevelType w:val="hybridMultilevel"/>
    <w:tmpl w:val="E0EAFD48"/>
    <w:lvl w:ilvl="0" w:tplc="4A8E9514">
      <w:numFmt w:val="bullet"/>
      <w:lvlText w:val=""/>
      <w:lvlJc w:val="left"/>
      <w:pPr>
        <w:ind w:left="542" w:hanging="360"/>
      </w:pPr>
      <w:rPr>
        <w:rFonts w:ascii="Symbol" w:eastAsia="Symbol" w:hAnsi="Symbol" w:cs="Symbol" w:hint="default"/>
        <w:b w:val="0"/>
        <w:bCs w:val="0"/>
        <w:i w:val="0"/>
        <w:iCs w:val="0"/>
        <w:w w:val="100"/>
        <w:sz w:val="22"/>
        <w:szCs w:val="22"/>
        <w:lang w:val="en-US" w:eastAsia="en-US" w:bidi="ar-SA"/>
      </w:rPr>
    </w:lvl>
    <w:lvl w:ilvl="1" w:tplc="BF300822">
      <w:numFmt w:val="bullet"/>
      <w:lvlText w:val="•"/>
      <w:lvlJc w:val="left"/>
      <w:pPr>
        <w:ind w:left="1088" w:hanging="360"/>
      </w:pPr>
      <w:rPr>
        <w:rFonts w:hint="default"/>
        <w:lang w:val="en-US" w:eastAsia="en-US" w:bidi="ar-SA"/>
      </w:rPr>
    </w:lvl>
    <w:lvl w:ilvl="2" w:tplc="43BCD1B6">
      <w:numFmt w:val="bullet"/>
      <w:lvlText w:val="•"/>
      <w:lvlJc w:val="left"/>
      <w:pPr>
        <w:ind w:left="1637" w:hanging="360"/>
      </w:pPr>
      <w:rPr>
        <w:rFonts w:hint="default"/>
        <w:lang w:val="en-US" w:eastAsia="en-US" w:bidi="ar-SA"/>
      </w:rPr>
    </w:lvl>
    <w:lvl w:ilvl="3" w:tplc="C90453EE">
      <w:numFmt w:val="bullet"/>
      <w:lvlText w:val="•"/>
      <w:lvlJc w:val="left"/>
      <w:pPr>
        <w:ind w:left="2185" w:hanging="360"/>
      </w:pPr>
      <w:rPr>
        <w:rFonts w:hint="default"/>
        <w:lang w:val="en-US" w:eastAsia="en-US" w:bidi="ar-SA"/>
      </w:rPr>
    </w:lvl>
    <w:lvl w:ilvl="4" w:tplc="3EA24F62">
      <w:numFmt w:val="bullet"/>
      <w:lvlText w:val="•"/>
      <w:lvlJc w:val="left"/>
      <w:pPr>
        <w:ind w:left="2734" w:hanging="360"/>
      </w:pPr>
      <w:rPr>
        <w:rFonts w:hint="default"/>
        <w:lang w:val="en-US" w:eastAsia="en-US" w:bidi="ar-SA"/>
      </w:rPr>
    </w:lvl>
    <w:lvl w:ilvl="5" w:tplc="F6DE2BC8">
      <w:numFmt w:val="bullet"/>
      <w:lvlText w:val="•"/>
      <w:lvlJc w:val="left"/>
      <w:pPr>
        <w:ind w:left="3283" w:hanging="360"/>
      </w:pPr>
      <w:rPr>
        <w:rFonts w:hint="default"/>
        <w:lang w:val="en-US" w:eastAsia="en-US" w:bidi="ar-SA"/>
      </w:rPr>
    </w:lvl>
    <w:lvl w:ilvl="6" w:tplc="16843D1E">
      <w:numFmt w:val="bullet"/>
      <w:lvlText w:val="•"/>
      <w:lvlJc w:val="left"/>
      <w:pPr>
        <w:ind w:left="3831" w:hanging="360"/>
      </w:pPr>
      <w:rPr>
        <w:rFonts w:hint="default"/>
        <w:lang w:val="en-US" w:eastAsia="en-US" w:bidi="ar-SA"/>
      </w:rPr>
    </w:lvl>
    <w:lvl w:ilvl="7" w:tplc="3A6EDC92">
      <w:numFmt w:val="bullet"/>
      <w:lvlText w:val="•"/>
      <w:lvlJc w:val="left"/>
      <w:pPr>
        <w:ind w:left="4380" w:hanging="360"/>
      </w:pPr>
      <w:rPr>
        <w:rFonts w:hint="default"/>
        <w:lang w:val="en-US" w:eastAsia="en-US" w:bidi="ar-SA"/>
      </w:rPr>
    </w:lvl>
    <w:lvl w:ilvl="8" w:tplc="8E1064F6">
      <w:numFmt w:val="bullet"/>
      <w:lvlText w:val="•"/>
      <w:lvlJc w:val="left"/>
      <w:pPr>
        <w:ind w:left="4928" w:hanging="360"/>
      </w:pPr>
      <w:rPr>
        <w:rFonts w:hint="default"/>
        <w:lang w:val="en-US" w:eastAsia="en-US" w:bidi="ar-SA"/>
      </w:rPr>
    </w:lvl>
  </w:abstractNum>
  <w:abstractNum w:abstractNumId="1" w15:restartNumberingAfterBreak="0">
    <w:nsid w:val="2EF07719"/>
    <w:multiLevelType w:val="hybridMultilevel"/>
    <w:tmpl w:val="B0869EB8"/>
    <w:lvl w:ilvl="0" w:tplc="A2CACE4A">
      <w:numFmt w:val="bullet"/>
      <w:lvlText w:val=""/>
      <w:lvlJc w:val="left"/>
      <w:pPr>
        <w:ind w:left="627" w:hanging="360"/>
      </w:pPr>
      <w:rPr>
        <w:rFonts w:ascii="Symbol" w:eastAsia="Symbol" w:hAnsi="Symbol" w:cs="Symbol" w:hint="default"/>
        <w:b w:val="0"/>
        <w:bCs w:val="0"/>
        <w:i w:val="0"/>
        <w:iCs w:val="0"/>
        <w:w w:val="100"/>
        <w:sz w:val="22"/>
        <w:szCs w:val="22"/>
        <w:lang w:val="en-US" w:eastAsia="en-US" w:bidi="ar-SA"/>
      </w:rPr>
    </w:lvl>
    <w:lvl w:ilvl="1" w:tplc="6CC2DBDA">
      <w:numFmt w:val="bullet"/>
      <w:lvlText w:val="•"/>
      <w:lvlJc w:val="left"/>
      <w:pPr>
        <w:ind w:left="1187" w:hanging="360"/>
      </w:pPr>
      <w:rPr>
        <w:rFonts w:hint="default"/>
        <w:lang w:val="en-US" w:eastAsia="en-US" w:bidi="ar-SA"/>
      </w:rPr>
    </w:lvl>
    <w:lvl w:ilvl="2" w:tplc="B93CAC48">
      <w:numFmt w:val="bullet"/>
      <w:lvlText w:val="•"/>
      <w:lvlJc w:val="left"/>
      <w:pPr>
        <w:ind w:left="1754" w:hanging="360"/>
      </w:pPr>
      <w:rPr>
        <w:rFonts w:hint="default"/>
        <w:lang w:val="en-US" w:eastAsia="en-US" w:bidi="ar-SA"/>
      </w:rPr>
    </w:lvl>
    <w:lvl w:ilvl="3" w:tplc="BBF40030">
      <w:numFmt w:val="bullet"/>
      <w:lvlText w:val="•"/>
      <w:lvlJc w:val="left"/>
      <w:pPr>
        <w:ind w:left="2321" w:hanging="360"/>
      </w:pPr>
      <w:rPr>
        <w:rFonts w:hint="default"/>
        <w:lang w:val="en-US" w:eastAsia="en-US" w:bidi="ar-SA"/>
      </w:rPr>
    </w:lvl>
    <w:lvl w:ilvl="4" w:tplc="69543000">
      <w:numFmt w:val="bullet"/>
      <w:lvlText w:val="•"/>
      <w:lvlJc w:val="left"/>
      <w:pPr>
        <w:ind w:left="2888" w:hanging="360"/>
      </w:pPr>
      <w:rPr>
        <w:rFonts w:hint="default"/>
        <w:lang w:val="en-US" w:eastAsia="en-US" w:bidi="ar-SA"/>
      </w:rPr>
    </w:lvl>
    <w:lvl w:ilvl="5" w:tplc="E5E4EACC">
      <w:numFmt w:val="bullet"/>
      <w:lvlText w:val="•"/>
      <w:lvlJc w:val="left"/>
      <w:pPr>
        <w:ind w:left="3455" w:hanging="360"/>
      </w:pPr>
      <w:rPr>
        <w:rFonts w:hint="default"/>
        <w:lang w:val="en-US" w:eastAsia="en-US" w:bidi="ar-SA"/>
      </w:rPr>
    </w:lvl>
    <w:lvl w:ilvl="6" w:tplc="4F76B81A">
      <w:numFmt w:val="bullet"/>
      <w:lvlText w:val="•"/>
      <w:lvlJc w:val="left"/>
      <w:pPr>
        <w:ind w:left="4022" w:hanging="360"/>
      </w:pPr>
      <w:rPr>
        <w:rFonts w:hint="default"/>
        <w:lang w:val="en-US" w:eastAsia="en-US" w:bidi="ar-SA"/>
      </w:rPr>
    </w:lvl>
    <w:lvl w:ilvl="7" w:tplc="3200BB52">
      <w:numFmt w:val="bullet"/>
      <w:lvlText w:val="•"/>
      <w:lvlJc w:val="left"/>
      <w:pPr>
        <w:ind w:left="4589" w:hanging="360"/>
      </w:pPr>
      <w:rPr>
        <w:rFonts w:hint="default"/>
        <w:lang w:val="en-US" w:eastAsia="en-US" w:bidi="ar-SA"/>
      </w:rPr>
    </w:lvl>
    <w:lvl w:ilvl="8" w:tplc="E80A4406">
      <w:numFmt w:val="bullet"/>
      <w:lvlText w:val="•"/>
      <w:lvlJc w:val="left"/>
      <w:pPr>
        <w:ind w:left="5156" w:hanging="360"/>
      </w:pPr>
      <w:rPr>
        <w:rFonts w:hint="default"/>
        <w:lang w:val="en-US" w:eastAsia="en-US" w:bidi="ar-SA"/>
      </w:rPr>
    </w:lvl>
  </w:abstractNum>
  <w:abstractNum w:abstractNumId="2" w15:restartNumberingAfterBreak="0">
    <w:nsid w:val="497264BE"/>
    <w:multiLevelType w:val="hybridMultilevel"/>
    <w:tmpl w:val="32402BE0"/>
    <w:lvl w:ilvl="0" w:tplc="9EB640AC">
      <w:numFmt w:val="bullet"/>
      <w:lvlText w:val=""/>
      <w:lvlJc w:val="left"/>
      <w:pPr>
        <w:ind w:left="542" w:hanging="360"/>
      </w:pPr>
      <w:rPr>
        <w:rFonts w:ascii="Symbol" w:eastAsia="Symbol" w:hAnsi="Symbol" w:cs="Symbol" w:hint="default"/>
        <w:b w:val="0"/>
        <w:bCs w:val="0"/>
        <w:i w:val="0"/>
        <w:iCs w:val="0"/>
        <w:w w:val="100"/>
        <w:sz w:val="22"/>
        <w:szCs w:val="22"/>
        <w:lang w:val="en-US" w:eastAsia="en-US" w:bidi="ar-SA"/>
      </w:rPr>
    </w:lvl>
    <w:lvl w:ilvl="1" w:tplc="94B68132">
      <w:numFmt w:val="bullet"/>
      <w:lvlText w:val="•"/>
      <w:lvlJc w:val="left"/>
      <w:pPr>
        <w:ind w:left="1088" w:hanging="360"/>
      </w:pPr>
      <w:rPr>
        <w:rFonts w:hint="default"/>
        <w:lang w:val="en-US" w:eastAsia="en-US" w:bidi="ar-SA"/>
      </w:rPr>
    </w:lvl>
    <w:lvl w:ilvl="2" w:tplc="E1BC683E">
      <w:numFmt w:val="bullet"/>
      <w:lvlText w:val="•"/>
      <w:lvlJc w:val="left"/>
      <w:pPr>
        <w:ind w:left="1637" w:hanging="360"/>
      </w:pPr>
      <w:rPr>
        <w:rFonts w:hint="default"/>
        <w:lang w:val="en-US" w:eastAsia="en-US" w:bidi="ar-SA"/>
      </w:rPr>
    </w:lvl>
    <w:lvl w:ilvl="3" w:tplc="9CCE3702">
      <w:numFmt w:val="bullet"/>
      <w:lvlText w:val="•"/>
      <w:lvlJc w:val="left"/>
      <w:pPr>
        <w:ind w:left="2185" w:hanging="360"/>
      </w:pPr>
      <w:rPr>
        <w:rFonts w:hint="default"/>
        <w:lang w:val="en-US" w:eastAsia="en-US" w:bidi="ar-SA"/>
      </w:rPr>
    </w:lvl>
    <w:lvl w:ilvl="4" w:tplc="BF9676A8">
      <w:numFmt w:val="bullet"/>
      <w:lvlText w:val="•"/>
      <w:lvlJc w:val="left"/>
      <w:pPr>
        <w:ind w:left="2734" w:hanging="360"/>
      </w:pPr>
      <w:rPr>
        <w:rFonts w:hint="default"/>
        <w:lang w:val="en-US" w:eastAsia="en-US" w:bidi="ar-SA"/>
      </w:rPr>
    </w:lvl>
    <w:lvl w:ilvl="5" w:tplc="889C5F60">
      <w:numFmt w:val="bullet"/>
      <w:lvlText w:val="•"/>
      <w:lvlJc w:val="left"/>
      <w:pPr>
        <w:ind w:left="3283" w:hanging="360"/>
      </w:pPr>
      <w:rPr>
        <w:rFonts w:hint="default"/>
        <w:lang w:val="en-US" w:eastAsia="en-US" w:bidi="ar-SA"/>
      </w:rPr>
    </w:lvl>
    <w:lvl w:ilvl="6" w:tplc="805CCFE2">
      <w:numFmt w:val="bullet"/>
      <w:lvlText w:val="•"/>
      <w:lvlJc w:val="left"/>
      <w:pPr>
        <w:ind w:left="3831" w:hanging="360"/>
      </w:pPr>
      <w:rPr>
        <w:rFonts w:hint="default"/>
        <w:lang w:val="en-US" w:eastAsia="en-US" w:bidi="ar-SA"/>
      </w:rPr>
    </w:lvl>
    <w:lvl w:ilvl="7" w:tplc="A66C13D8">
      <w:numFmt w:val="bullet"/>
      <w:lvlText w:val="•"/>
      <w:lvlJc w:val="left"/>
      <w:pPr>
        <w:ind w:left="4380" w:hanging="360"/>
      </w:pPr>
      <w:rPr>
        <w:rFonts w:hint="default"/>
        <w:lang w:val="en-US" w:eastAsia="en-US" w:bidi="ar-SA"/>
      </w:rPr>
    </w:lvl>
    <w:lvl w:ilvl="8" w:tplc="A2C4A016">
      <w:numFmt w:val="bullet"/>
      <w:lvlText w:val="•"/>
      <w:lvlJc w:val="left"/>
      <w:pPr>
        <w:ind w:left="4928" w:hanging="360"/>
      </w:pPr>
      <w:rPr>
        <w:rFonts w:hint="default"/>
        <w:lang w:val="en-US" w:eastAsia="en-US" w:bidi="ar-SA"/>
      </w:rPr>
    </w:lvl>
  </w:abstractNum>
  <w:abstractNum w:abstractNumId="3" w15:restartNumberingAfterBreak="0">
    <w:nsid w:val="77607821"/>
    <w:multiLevelType w:val="hybridMultilevel"/>
    <w:tmpl w:val="B484C12A"/>
    <w:lvl w:ilvl="0" w:tplc="EC180558">
      <w:numFmt w:val="bullet"/>
      <w:lvlText w:val=""/>
      <w:lvlJc w:val="left"/>
      <w:pPr>
        <w:ind w:left="627" w:hanging="360"/>
      </w:pPr>
      <w:rPr>
        <w:rFonts w:ascii="Symbol" w:eastAsia="Symbol" w:hAnsi="Symbol" w:cs="Symbol" w:hint="default"/>
        <w:b w:val="0"/>
        <w:bCs w:val="0"/>
        <w:i w:val="0"/>
        <w:iCs w:val="0"/>
        <w:w w:val="100"/>
        <w:sz w:val="22"/>
        <w:szCs w:val="22"/>
        <w:lang w:val="en-US" w:eastAsia="en-US" w:bidi="ar-SA"/>
      </w:rPr>
    </w:lvl>
    <w:lvl w:ilvl="1" w:tplc="769A8038">
      <w:numFmt w:val="bullet"/>
      <w:lvlText w:val="•"/>
      <w:lvlJc w:val="left"/>
      <w:pPr>
        <w:ind w:left="1187" w:hanging="360"/>
      </w:pPr>
      <w:rPr>
        <w:rFonts w:hint="default"/>
        <w:lang w:val="en-US" w:eastAsia="en-US" w:bidi="ar-SA"/>
      </w:rPr>
    </w:lvl>
    <w:lvl w:ilvl="2" w:tplc="6DB66B40">
      <w:numFmt w:val="bullet"/>
      <w:lvlText w:val="•"/>
      <w:lvlJc w:val="left"/>
      <w:pPr>
        <w:ind w:left="1754" w:hanging="360"/>
      </w:pPr>
      <w:rPr>
        <w:rFonts w:hint="default"/>
        <w:lang w:val="en-US" w:eastAsia="en-US" w:bidi="ar-SA"/>
      </w:rPr>
    </w:lvl>
    <w:lvl w:ilvl="3" w:tplc="DDC8F1C2">
      <w:numFmt w:val="bullet"/>
      <w:lvlText w:val="•"/>
      <w:lvlJc w:val="left"/>
      <w:pPr>
        <w:ind w:left="2321" w:hanging="360"/>
      </w:pPr>
      <w:rPr>
        <w:rFonts w:hint="default"/>
        <w:lang w:val="en-US" w:eastAsia="en-US" w:bidi="ar-SA"/>
      </w:rPr>
    </w:lvl>
    <w:lvl w:ilvl="4" w:tplc="651C5228">
      <w:numFmt w:val="bullet"/>
      <w:lvlText w:val="•"/>
      <w:lvlJc w:val="left"/>
      <w:pPr>
        <w:ind w:left="2888" w:hanging="360"/>
      </w:pPr>
      <w:rPr>
        <w:rFonts w:hint="default"/>
        <w:lang w:val="en-US" w:eastAsia="en-US" w:bidi="ar-SA"/>
      </w:rPr>
    </w:lvl>
    <w:lvl w:ilvl="5" w:tplc="194CD838">
      <w:numFmt w:val="bullet"/>
      <w:lvlText w:val="•"/>
      <w:lvlJc w:val="left"/>
      <w:pPr>
        <w:ind w:left="3455" w:hanging="360"/>
      </w:pPr>
      <w:rPr>
        <w:rFonts w:hint="default"/>
        <w:lang w:val="en-US" w:eastAsia="en-US" w:bidi="ar-SA"/>
      </w:rPr>
    </w:lvl>
    <w:lvl w:ilvl="6" w:tplc="5DC84104">
      <w:numFmt w:val="bullet"/>
      <w:lvlText w:val="•"/>
      <w:lvlJc w:val="left"/>
      <w:pPr>
        <w:ind w:left="4022" w:hanging="360"/>
      </w:pPr>
      <w:rPr>
        <w:rFonts w:hint="default"/>
        <w:lang w:val="en-US" w:eastAsia="en-US" w:bidi="ar-SA"/>
      </w:rPr>
    </w:lvl>
    <w:lvl w:ilvl="7" w:tplc="BE68274C">
      <w:numFmt w:val="bullet"/>
      <w:lvlText w:val="•"/>
      <w:lvlJc w:val="left"/>
      <w:pPr>
        <w:ind w:left="4589" w:hanging="360"/>
      </w:pPr>
      <w:rPr>
        <w:rFonts w:hint="default"/>
        <w:lang w:val="en-US" w:eastAsia="en-US" w:bidi="ar-SA"/>
      </w:rPr>
    </w:lvl>
    <w:lvl w:ilvl="8" w:tplc="164CA8A4">
      <w:numFmt w:val="bullet"/>
      <w:lvlText w:val="•"/>
      <w:lvlJc w:val="left"/>
      <w:pPr>
        <w:ind w:left="5156" w:hanging="360"/>
      </w:pPr>
      <w:rPr>
        <w:rFonts w:hint="default"/>
        <w:lang w:val="en-US" w:eastAsia="en-US" w:bidi="ar-SA"/>
      </w:rPr>
    </w:lvl>
  </w:abstractNum>
  <w:num w:numId="1" w16cid:durableId="1400326234">
    <w:abstractNumId w:val="1"/>
  </w:num>
  <w:num w:numId="2" w16cid:durableId="1104150880">
    <w:abstractNumId w:val="3"/>
  </w:num>
  <w:num w:numId="3" w16cid:durableId="1081222528">
    <w:abstractNumId w:val="0"/>
  </w:num>
  <w:num w:numId="4" w16cid:durableId="1920674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83"/>
    <w:rsid w:val="00155D01"/>
    <w:rsid w:val="00161F06"/>
    <w:rsid w:val="0017474E"/>
    <w:rsid w:val="001E44F0"/>
    <w:rsid w:val="0027161A"/>
    <w:rsid w:val="00457788"/>
    <w:rsid w:val="0046388C"/>
    <w:rsid w:val="00552035"/>
    <w:rsid w:val="005531A4"/>
    <w:rsid w:val="005E7F1B"/>
    <w:rsid w:val="00626DFA"/>
    <w:rsid w:val="006328A1"/>
    <w:rsid w:val="006A4D44"/>
    <w:rsid w:val="006E1656"/>
    <w:rsid w:val="007705B7"/>
    <w:rsid w:val="00823EF6"/>
    <w:rsid w:val="00825C54"/>
    <w:rsid w:val="0087467C"/>
    <w:rsid w:val="008C1F83"/>
    <w:rsid w:val="009763E0"/>
    <w:rsid w:val="009C7BA1"/>
    <w:rsid w:val="00A63D56"/>
    <w:rsid w:val="00A8581C"/>
    <w:rsid w:val="00AF393A"/>
    <w:rsid w:val="00B1684F"/>
    <w:rsid w:val="00C465BE"/>
    <w:rsid w:val="00D70897"/>
    <w:rsid w:val="00D90CAE"/>
    <w:rsid w:val="00D910AC"/>
    <w:rsid w:val="00D97670"/>
    <w:rsid w:val="00E1194E"/>
    <w:rsid w:val="00EA75E9"/>
    <w:rsid w:val="00EF3E30"/>
    <w:rsid w:val="00F45DA5"/>
    <w:rsid w:val="00F961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616B3"/>
  <w15:docId w15:val="{08503078-0405-41F2-AE60-B3CF5B74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5"/>
      <w:ind w:left="220" w:right="105"/>
    </w:pPr>
    <w:rPr>
      <w:sz w:val="24"/>
      <w:szCs w:val="24"/>
    </w:rPr>
  </w:style>
  <w:style w:type="paragraph" w:styleId="Title">
    <w:name w:val="Title"/>
    <w:basedOn w:val="Normal"/>
    <w:uiPriority w:val="10"/>
    <w:qFormat/>
    <w:pPr>
      <w:spacing w:before="200" w:after="2"/>
      <w:ind w:left="6559" w:right="5767"/>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1E44F0"/>
    <w:pPr>
      <w:tabs>
        <w:tab w:val="center" w:pos="4680"/>
        <w:tab w:val="right" w:pos="9360"/>
      </w:tabs>
    </w:pPr>
  </w:style>
  <w:style w:type="character" w:customStyle="1" w:styleId="HeaderChar">
    <w:name w:val="Header Char"/>
    <w:basedOn w:val="DefaultParagraphFont"/>
    <w:link w:val="Header"/>
    <w:uiPriority w:val="99"/>
    <w:rsid w:val="001E44F0"/>
    <w:rPr>
      <w:rFonts w:ascii="Calibri" w:eastAsia="Calibri" w:hAnsi="Calibri" w:cs="Calibri"/>
    </w:rPr>
  </w:style>
  <w:style w:type="paragraph" w:styleId="Footer">
    <w:name w:val="footer"/>
    <w:basedOn w:val="Normal"/>
    <w:link w:val="FooterChar"/>
    <w:uiPriority w:val="99"/>
    <w:unhideWhenUsed/>
    <w:rsid w:val="001E44F0"/>
    <w:pPr>
      <w:tabs>
        <w:tab w:val="center" w:pos="4680"/>
        <w:tab w:val="right" w:pos="9360"/>
      </w:tabs>
    </w:pPr>
  </w:style>
  <w:style w:type="character" w:customStyle="1" w:styleId="FooterChar">
    <w:name w:val="Footer Char"/>
    <w:basedOn w:val="DefaultParagraphFont"/>
    <w:link w:val="Footer"/>
    <w:uiPriority w:val="99"/>
    <w:rsid w:val="001E44F0"/>
    <w:rPr>
      <w:rFonts w:ascii="Calibri" w:eastAsia="Calibri" w:hAnsi="Calibri" w:cs="Calibri"/>
    </w:rPr>
  </w:style>
  <w:style w:type="table" w:styleId="TableGrid">
    <w:name w:val="Table Grid"/>
    <w:basedOn w:val="TableNormal"/>
    <w:uiPriority w:val="39"/>
    <w:rsid w:val="0062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5</cp:revision>
  <dcterms:created xsi:type="dcterms:W3CDTF">2024-12-05T06:58:00Z</dcterms:created>
  <dcterms:modified xsi:type="dcterms:W3CDTF">2025-05-01T19:14:00Z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Office Word 2007</vt:lpwstr>
  </property>
  <property fmtid="{D5CDD505-2E9C-101B-9397-08002B2CF9AE}" pid="4" name="LastSaved">
    <vt:filetime>2024-12-05T00:00:00Z</vt:filetime>
  </property>
</Properties>
</file>