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1674" w14:textId="77777777" w:rsidR="00437C70" w:rsidRPr="00437C70" w:rsidRDefault="00437C70" w:rsidP="00437C70">
      <w:pPr>
        <w:jc w:val="center"/>
        <w:rPr>
          <w:rFonts w:eastAsiaTheme="minorEastAsia" w:hAnsi="Calibri"/>
          <w:b/>
          <w:color w:val="000000" w:themeColor="text1"/>
          <w:kern w:val="24"/>
          <w:sz w:val="28"/>
          <w:szCs w:val="28"/>
        </w:rPr>
      </w:pPr>
      <w:r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:lang w:val="es"/>
        </w:rPr>
        <w:t>Aplicación del % de CV, el gran ecualizador</w:t>
      </w:r>
    </w:p>
    <w:p w14:paraId="40CD5567" w14:textId="77777777" w:rsidR="00437C70" w:rsidRPr="00437C70" w:rsidRDefault="00437C70" w:rsidP="00A34B8A">
      <w:pPr>
        <w:jc w:val="center"/>
        <w:rPr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  <w:lang w:val="es"/>
        </w:rPr>
        <w:t>Utilización del % de coeficiente de variación (CV) en el cruce entre 2 números de lote diferentes de material de control cuando los materiales tienen una vida útil corta.</w:t>
      </w:r>
    </w:p>
    <w:p w14:paraId="20523486" w14:textId="77777777" w:rsidR="00232BB0" w:rsidRDefault="00232BB0" w:rsidP="00437C70">
      <w:pPr>
        <w:pStyle w:val="ListParagraph"/>
        <w:numPr>
          <w:ilvl w:val="0"/>
          <w:numId w:val="2"/>
        </w:numPr>
      </w:pPr>
      <w:r>
        <w:rPr>
          <w:lang w:val="es"/>
        </w:rPr>
        <w:t>Realice el cruce cuando el sistema esté estable.  Si el sistema es inestable, debería investigar y solucionar problemas del sistema y no realizar pruebas en paralelo.</w:t>
      </w:r>
    </w:p>
    <w:p w14:paraId="0CB5C5EF" w14:textId="77777777" w:rsidR="000E0109" w:rsidRPr="00A34B8A" w:rsidRDefault="000E0109" w:rsidP="000E0109">
      <w:pPr>
        <w:pStyle w:val="ListParagraph"/>
        <w:rPr>
          <w:sz w:val="20"/>
          <w:szCs w:val="20"/>
        </w:rPr>
      </w:pPr>
    </w:p>
    <w:p w14:paraId="34771FB7" w14:textId="77777777" w:rsidR="00CB2876" w:rsidRDefault="002D0722" w:rsidP="00437C70">
      <w:pPr>
        <w:pStyle w:val="ListParagraph"/>
        <w:numPr>
          <w:ilvl w:val="0"/>
          <w:numId w:val="2"/>
        </w:numPr>
      </w:pPr>
      <w:r>
        <w:rPr>
          <w:lang w:val="es"/>
        </w:rPr>
        <w:t xml:space="preserve">Calcule el % de CV del </w:t>
      </w:r>
      <w:r>
        <w:rPr>
          <w:u w:val="single"/>
          <w:lang w:val="es"/>
        </w:rPr>
        <w:t>número de lote actual</w:t>
      </w:r>
      <w:r>
        <w:rPr>
          <w:lang w:val="es"/>
        </w:rPr>
        <w:t xml:space="preserve"> (actualmente en uso) utilizando la media observada (Media</w:t>
      </w:r>
      <w:r>
        <w:rPr>
          <w:vertAlign w:val="subscript"/>
          <w:lang w:val="es"/>
        </w:rPr>
        <w:t>obs</w:t>
      </w:r>
      <w:r>
        <w:rPr>
          <w:lang w:val="es"/>
        </w:rPr>
        <w:t>) y la desviación estándar observada (Standard Deviation, SD</w:t>
      </w:r>
      <w:r>
        <w:rPr>
          <w:vertAlign w:val="subscript"/>
          <w:lang w:val="es"/>
        </w:rPr>
        <w:t>obs</w:t>
      </w:r>
      <w:r>
        <w:rPr>
          <w:lang w:val="es"/>
        </w:rPr>
        <w:t>) observada.</w:t>
      </w:r>
    </w:p>
    <w:p w14:paraId="59088AAB" w14:textId="77777777" w:rsidR="00437C70" w:rsidRPr="00A34B8A" w:rsidRDefault="00437C70" w:rsidP="00437C70">
      <w:pPr>
        <w:pStyle w:val="ListParagraph"/>
        <w:rPr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37C70" w14:paraId="3A1B8D49" w14:textId="77777777" w:rsidTr="00437C70">
        <w:tc>
          <w:tcPr>
            <w:tcW w:w="3192" w:type="dxa"/>
          </w:tcPr>
          <w:p w14:paraId="37BC9E22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Media</w:t>
            </w:r>
            <w:r>
              <w:rPr>
                <w:b/>
                <w:bCs/>
                <w:vertAlign w:val="subscript"/>
                <w:lang w:val="es"/>
              </w:rPr>
              <w:t>obs</w:t>
            </w:r>
          </w:p>
        </w:tc>
        <w:tc>
          <w:tcPr>
            <w:tcW w:w="3192" w:type="dxa"/>
          </w:tcPr>
          <w:p w14:paraId="5A0B5A4A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SD</w:t>
            </w:r>
            <w:r>
              <w:rPr>
                <w:b/>
                <w:bCs/>
                <w:vertAlign w:val="subscript"/>
                <w:lang w:val="es"/>
              </w:rPr>
              <w:t>obs</w:t>
            </w:r>
          </w:p>
        </w:tc>
        <w:tc>
          <w:tcPr>
            <w:tcW w:w="3192" w:type="dxa"/>
          </w:tcPr>
          <w:p w14:paraId="00939DDB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% de CV</w:t>
            </w:r>
          </w:p>
        </w:tc>
      </w:tr>
      <w:tr w:rsidR="00437C70" w14:paraId="6A65C2A0" w14:textId="77777777" w:rsidTr="000E0109">
        <w:trPr>
          <w:trHeight w:val="629"/>
        </w:trPr>
        <w:tc>
          <w:tcPr>
            <w:tcW w:w="3192" w:type="dxa"/>
            <w:vAlign w:val="center"/>
          </w:tcPr>
          <w:p w14:paraId="4E08023C" w14:textId="77777777" w:rsidR="00437C70" w:rsidRDefault="00437C70" w:rsidP="000E0109">
            <w:pPr>
              <w:pStyle w:val="ListParagraph"/>
              <w:ind w:left="0"/>
              <w:jc w:val="center"/>
            </w:pPr>
            <w:r>
              <w:rPr>
                <w:lang w:val="es"/>
              </w:rPr>
              <w:t>100 umol/L</w:t>
            </w:r>
          </w:p>
        </w:tc>
        <w:tc>
          <w:tcPr>
            <w:tcW w:w="3192" w:type="dxa"/>
            <w:vAlign w:val="center"/>
          </w:tcPr>
          <w:p w14:paraId="244A9F80" w14:textId="77777777" w:rsidR="00437C70" w:rsidRDefault="000E0109" w:rsidP="000E0109">
            <w:pPr>
              <w:pStyle w:val="ListParagraph"/>
              <w:ind w:left="0"/>
              <w:jc w:val="center"/>
            </w:pPr>
            <w:r>
              <w:rPr>
                <w:lang w:val="es"/>
              </w:rPr>
              <w:t>5 umol/L</w:t>
            </w:r>
          </w:p>
        </w:tc>
        <w:tc>
          <w:tcPr>
            <w:tcW w:w="3192" w:type="dxa"/>
          </w:tcPr>
          <w:p w14:paraId="5DD5B3F6" w14:textId="77777777" w:rsidR="00437C70" w:rsidRPr="005C46CA" w:rsidRDefault="00437C70" w:rsidP="00437C70">
            <w:pPr>
              <w:pStyle w:val="ListParagraph"/>
              <w:ind w:left="0"/>
              <w:jc w:val="center"/>
              <w:rPr>
                <w:rFonts w:ascii="Arial Black" w:hAnsi="Arial Black"/>
                <w:b/>
              </w:rPr>
            </w:pPr>
          </w:p>
        </w:tc>
      </w:tr>
    </w:tbl>
    <w:p w14:paraId="5CE8614B" w14:textId="77777777" w:rsidR="00437C70" w:rsidRPr="00A34B8A" w:rsidRDefault="00437C70" w:rsidP="00437C70">
      <w:pPr>
        <w:pStyle w:val="ListParagraph"/>
        <w:rPr>
          <w:sz w:val="20"/>
          <w:szCs w:val="20"/>
        </w:rPr>
      </w:pPr>
    </w:p>
    <w:p w14:paraId="59E96D09" w14:textId="77777777" w:rsidR="00437C70" w:rsidRDefault="00437C70" w:rsidP="00437C70">
      <w:pPr>
        <w:pStyle w:val="ListParagraph"/>
        <w:numPr>
          <w:ilvl w:val="0"/>
          <w:numId w:val="2"/>
        </w:numPr>
      </w:pPr>
      <w:r>
        <w:rPr>
          <w:lang w:val="es"/>
        </w:rPr>
        <w:t>Calcule la Media</w:t>
      </w:r>
      <w:r>
        <w:rPr>
          <w:vertAlign w:val="subscript"/>
          <w:lang w:val="es"/>
        </w:rPr>
        <w:t xml:space="preserve"> obs</w:t>
      </w:r>
      <w:r>
        <w:rPr>
          <w:lang w:val="es"/>
        </w:rPr>
        <w:t xml:space="preserve"> con el </w:t>
      </w:r>
      <w:r>
        <w:rPr>
          <w:u w:val="single"/>
          <w:lang w:val="es"/>
        </w:rPr>
        <w:t>nuevo número de lote</w:t>
      </w:r>
      <w:r>
        <w:rPr>
          <w:lang w:val="es"/>
        </w:rPr>
        <w:t xml:space="preserve"> mediante el análisis del material de control de calidad de 8 a 10 veces.  Confirme que los valores obtenidos se encuentren dentro del rango inicial utilizando el prospecto como guía solamente.</w:t>
      </w:r>
    </w:p>
    <w:p w14:paraId="6B08D699" w14:textId="77777777" w:rsidR="005C46CA" w:rsidRPr="00A34B8A" w:rsidRDefault="005C46CA" w:rsidP="005C46CA">
      <w:pPr>
        <w:pStyle w:val="ListParagraph"/>
        <w:rPr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28"/>
        <w:gridCol w:w="1980"/>
        <w:gridCol w:w="2070"/>
        <w:gridCol w:w="1902"/>
      </w:tblGrid>
      <w:tr w:rsidR="00437C70" w14:paraId="5FF2C93C" w14:textId="77777777" w:rsidTr="005A65DF">
        <w:tc>
          <w:tcPr>
            <w:tcW w:w="1728" w:type="dxa"/>
          </w:tcPr>
          <w:p w14:paraId="4D1D8DBD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Ejecución nro.</w:t>
            </w:r>
          </w:p>
        </w:tc>
        <w:tc>
          <w:tcPr>
            <w:tcW w:w="1980" w:type="dxa"/>
          </w:tcPr>
          <w:p w14:paraId="01D363B4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Valor (umol/L)</w:t>
            </w:r>
          </w:p>
        </w:tc>
        <w:tc>
          <w:tcPr>
            <w:tcW w:w="2070" w:type="dxa"/>
          </w:tcPr>
          <w:p w14:paraId="25A4B447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Ejecución nro.</w:t>
            </w:r>
          </w:p>
        </w:tc>
        <w:tc>
          <w:tcPr>
            <w:tcW w:w="1902" w:type="dxa"/>
          </w:tcPr>
          <w:p w14:paraId="3AA4D100" w14:textId="77777777" w:rsidR="00437C70" w:rsidRPr="00437C70" w:rsidRDefault="00437C70" w:rsidP="00437C7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Valor (umol/L)</w:t>
            </w:r>
          </w:p>
        </w:tc>
      </w:tr>
      <w:tr w:rsidR="00437C70" w14:paraId="47363239" w14:textId="77777777" w:rsidTr="005A65DF">
        <w:tc>
          <w:tcPr>
            <w:tcW w:w="1728" w:type="dxa"/>
          </w:tcPr>
          <w:p w14:paraId="001EF3A5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1</w:t>
            </w:r>
          </w:p>
        </w:tc>
        <w:tc>
          <w:tcPr>
            <w:tcW w:w="1980" w:type="dxa"/>
          </w:tcPr>
          <w:p w14:paraId="3E75A32F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115</w:t>
            </w:r>
          </w:p>
        </w:tc>
        <w:tc>
          <w:tcPr>
            <w:tcW w:w="2070" w:type="dxa"/>
          </w:tcPr>
          <w:p w14:paraId="42021C4A" w14:textId="77777777" w:rsidR="00437C70" w:rsidRPr="00437C70" w:rsidRDefault="00437C70" w:rsidP="007A3708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6</w:t>
            </w:r>
          </w:p>
        </w:tc>
        <w:tc>
          <w:tcPr>
            <w:tcW w:w="1902" w:type="dxa"/>
          </w:tcPr>
          <w:p w14:paraId="66041F6B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116</w:t>
            </w:r>
          </w:p>
        </w:tc>
      </w:tr>
      <w:tr w:rsidR="00437C70" w14:paraId="20982BE0" w14:textId="77777777" w:rsidTr="005A65DF">
        <w:tc>
          <w:tcPr>
            <w:tcW w:w="1728" w:type="dxa"/>
          </w:tcPr>
          <w:p w14:paraId="05319332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2</w:t>
            </w:r>
          </w:p>
        </w:tc>
        <w:tc>
          <w:tcPr>
            <w:tcW w:w="1980" w:type="dxa"/>
          </w:tcPr>
          <w:p w14:paraId="59E89A83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117</w:t>
            </w:r>
          </w:p>
        </w:tc>
        <w:tc>
          <w:tcPr>
            <w:tcW w:w="2070" w:type="dxa"/>
          </w:tcPr>
          <w:p w14:paraId="4B7C7A04" w14:textId="77777777" w:rsidR="00437C70" w:rsidRPr="00437C70" w:rsidRDefault="00437C70" w:rsidP="007A3708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7</w:t>
            </w:r>
          </w:p>
        </w:tc>
        <w:tc>
          <w:tcPr>
            <w:tcW w:w="1902" w:type="dxa"/>
          </w:tcPr>
          <w:p w14:paraId="0161D0E9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114</w:t>
            </w:r>
          </w:p>
        </w:tc>
      </w:tr>
      <w:tr w:rsidR="00437C70" w14:paraId="42743BDA" w14:textId="77777777" w:rsidTr="005A65DF">
        <w:tc>
          <w:tcPr>
            <w:tcW w:w="1728" w:type="dxa"/>
          </w:tcPr>
          <w:p w14:paraId="08D7F0D1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3</w:t>
            </w:r>
          </w:p>
        </w:tc>
        <w:tc>
          <w:tcPr>
            <w:tcW w:w="1980" w:type="dxa"/>
          </w:tcPr>
          <w:p w14:paraId="5F3E48FE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114</w:t>
            </w:r>
          </w:p>
        </w:tc>
        <w:tc>
          <w:tcPr>
            <w:tcW w:w="2070" w:type="dxa"/>
          </w:tcPr>
          <w:p w14:paraId="73833045" w14:textId="77777777" w:rsidR="00437C70" w:rsidRPr="00437C70" w:rsidRDefault="00437C70" w:rsidP="007A3708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8</w:t>
            </w:r>
          </w:p>
        </w:tc>
        <w:tc>
          <w:tcPr>
            <w:tcW w:w="1902" w:type="dxa"/>
          </w:tcPr>
          <w:p w14:paraId="0ADFB01F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117</w:t>
            </w:r>
          </w:p>
        </w:tc>
      </w:tr>
      <w:tr w:rsidR="00437C70" w14:paraId="13570B3E" w14:textId="77777777" w:rsidTr="005A65DF">
        <w:tc>
          <w:tcPr>
            <w:tcW w:w="1728" w:type="dxa"/>
          </w:tcPr>
          <w:p w14:paraId="0028E295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4</w:t>
            </w:r>
          </w:p>
        </w:tc>
        <w:tc>
          <w:tcPr>
            <w:tcW w:w="1980" w:type="dxa"/>
          </w:tcPr>
          <w:p w14:paraId="3B890D13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116</w:t>
            </w:r>
          </w:p>
        </w:tc>
        <w:tc>
          <w:tcPr>
            <w:tcW w:w="2070" w:type="dxa"/>
          </w:tcPr>
          <w:p w14:paraId="13C76C6C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9</w:t>
            </w:r>
          </w:p>
        </w:tc>
        <w:tc>
          <w:tcPr>
            <w:tcW w:w="1902" w:type="dxa"/>
          </w:tcPr>
          <w:p w14:paraId="649716EA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115</w:t>
            </w:r>
          </w:p>
        </w:tc>
      </w:tr>
      <w:tr w:rsidR="00437C70" w14:paraId="43A8D7F5" w14:textId="77777777" w:rsidTr="005A65DF">
        <w:tc>
          <w:tcPr>
            <w:tcW w:w="1728" w:type="dxa"/>
          </w:tcPr>
          <w:p w14:paraId="0D570326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5</w:t>
            </w:r>
          </w:p>
        </w:tc>
        <w:tc>
          <w:tcPr>
            <w:tcW w:w="1980" w:type="dxa"/>
          </w:tcPr>
          <w:p w14:paraId="5E207011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115</w:t>
            </w:r>
          </w:p>
        </w:tc>
        <w:tc>
          <w:tcPr>
            <w:tcW w:w="2070" w:type="dxa"/>
          </w:tcPr>
          <w:p w14:paraId="1D781CE9" w14:textId="77777777" w:rsidR="00437C70" w:rsidRPr="00437C70" w:rsidRDefault="00437C70" w:rsidP="00437C70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10</w:t>
            </w:r>
          </w:p>
        </w:tc>
        <w:tc>
          <w:tcPr>
            <w:tcW w:w="1902" w:type="dxa"/>
          </w:tcPr>
          <w:p w14:paraId="23F9DD3B" w14:textId="77777777" w:rsidR="00437C70" w:rsidRDefault="009861DD" w:rsidP="00437C70">
            <w:pPr>
              <w:pStyle w:val="ListParagraph"/>
              <w:ind w:left="0"/>
            </w:pPr>
            <w:r>
              <w:rPr>
                <w:lang w:val="es"/>
              </w:rPr>
              <w:t>115</w:t>
            </w:r>
          </w:p>
        </w:tc>
      </w:tr>
      <w:tr w:rsidR="005C46CA" w14:paraId="79F97CD8" w14:textId="77777777" w:rsidTr="005A65DF">
        <w:tc>
          <w:tcPr>
            <w:tcW w:w="7680" w:type="dxa"/>
            <w:gridSpan w:val="4"/>
          </w:tcPr>
          <w:p w14:paraId="3F719C55" w14:textId="77777777" w:rsidR="005C46CA" w:rsidRDefault="005C46CA" w:rsidP="00437C70">
            <w:pPr>
              <w:pStyle w:val="ListParagraph"/>
              <w:ind w:left="0"/>
            </w:pPr>
          </w:p>
          <w:p w14:paraId="048749EA" w14:textId="77777777" w:rsidR="005C46CA" w:rsidRPr="00A34B8A" w:rsidRDefault="005C46CA" w:rsidP="00A34B8A">
            <w:pPr>
              <w:pStyle w:val="ListParagraph"/>
              <w:ind w:left="0" w:firstLine="810"/>
              <w:rPr>
                <w:rFonts w:ascii="Arial Black" w:hAnsi="Arial Black"/>
                <w:b/>
                <w:color w:val="0070C0"/>
              </w:rPr>
            </w:pPr>
            <w:r>
              <w:rPr>
                <w:b/>
                <w:bCs/>
                <w:lang w:val="es"/>
              </w:rPr>
              <w:t xml:space="preserve">Media </w:t>
            </w:r>
            <w:r>
              <w:rPr>
                <w:b/>
                <w:bCs/>
                <w:vertAlign w:val="subscript"/>
                <w:lang w:val="es"/>
              </w:rPr>
              <w:t>obs del nuevo nro. de lote</w:t>
            </w:r>
            <w:r>
              <w:rPr>
                <w:b/>
                <w:bCs/>
                <w:lang w:val="es"/>
              </w:rPr>
              <w:t xml:space="preserve"> = </w:t>
            </w:r>
          </w:p>
          <w:p w14:paraId="552B5219" w14:textId="77777777" w:rsidR="005C46CA" w:rsidRDefault="005C46CA" w:rsidP="00437C70">
            <w:pPr>
              <w:pStyle w:val="ListParagraph"/>
              <w:ind w:left="0"/>
            </w:pPr>
          </w:p>
        </w:tc>
      </w:tr>
    </w:tbl>
    <w:p w14:paraId="73375CA8" w14:textId="77777777" w:rsidR="00437C70" w:rsidRDefault="00437C70" w:rsidP="00437C70">
      <w:pPr>
        <w:pStyle w:val="ListParagraph"/>
      </w:pPr>
    </w:p>
    <w:p w14:paraId="2DEA9257" w14:textId="77777777" w:rsidR="005C46CA" w:rsidRDefault="005C46CA" w:rsidP="005C46CA">
      <w:pPr>
        <w:pStyle w:val="ListParagraph"/>
        <w:numPr>
          <w:ilvl w:val="0"/>
          <w:numId w:val="2"/>
        </w:numPr>
      </w:pPr>
      <w:r>
        <w:rPr>
          <w:lang w:val="es"/>
        </w:rPr>
        <w:t>Mediante el uso del % de CV del método actual y la Media</w:t>
      </w:r>
      <w:r>
        <w:rPr>
          <w:vertAlign w:val="subscript"/>
          <w:lang w:val="es"/>
        </w:rPr>
        <w:t>obs</w:t>
      </w:r>
      <w:r>
        <w:rPr>
          <w:lang w:val="es"/>
        </w:rPr>
        <w:t xml:space="preserve"> del nuevo número de lote y la asunción de que el sistema se ha mantenido estable con la misma cantidad de aleatoriedad inherente, calcule la SD del nuevo número de lote.</w:t>
      </w:r>
    </w:p>
    <w:p w14:paraId="1AFCF072" w14:textId="77777777" w:rsidR="005C46CA" w:rsidRPr="00A34B8A" w:rsidRDefault="005C46CA" w:rsidP="005C46CA">
      <w:pPr>
        <w:pStyle w:val="ListParagraph"/>
        <w:rPr>
          <w:sz w:val="20"/>
          <w:szCs w:val="20"/>
        </w:rPr>
      </w:pPr>
    </w:p>
    <w:p w14:paraId="74A0FAE9" w14:textId="77777777" w:rsidR="005C46CA" w:rsidRDefault="005C46CA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val="es"/>
        </w:rPr>
        <w:t>% de CV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 xml:space="preserve"> nro. de lote actual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> = (SD/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fldChar w:fldCharType="begin"/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instrText xml:space="preserve"> eq \o(x,¯) </w:instrTex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fldChar w:fldCharType="end"/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>obs del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>nuevo nro. de lote)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> × 100 %</w:t>
      </w:r>
    </w:p>
    <w:p w14:paraId="5EC6B102" w14:textId="77777777" w:rsidR="005C46CA" w:rsidRPr="00A34B8A" w:rsidRDefault="005C46CA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07817704" w14:textId="77777777" w:rsidR="00152640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s"/>
        </w:rPr>
        <w:t>Resolución para la desviación estándar</w:t>
      </w:r>
    </w:p>
    <w:p w14:paraId="0CBF8D67" w14:textId="77777777" w:rsidR="00152640" w:rsidRPr="00A34B8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2BA05DB2" w14:textId="77777777" w:rsidR="005C46C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val="es"/>
        </w:rPr>
        <w:t>(% de CV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 xml:space="preserve"> nro. de lote actual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> ÷ 100 %) × 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fldChar w:fldCharType="begin"/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instrText xml:space="preserve"> eq \o(x,¯) </w:instrTex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fldChar w:fldCharType="end"/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>obs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>del nuevo nro. de lote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> = SD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>nuevo nro. de lote</w:t>
      </w:r>
    </w:p>
    <w:p w14:paraId="42372EC2" w14:textId="77777777" w:rsidR="00152640" w:rsidRPr="00A34B8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5A09B20D" w14:textId="77777777" w:rsidR="00152640" w:rsidRPr="009861DD" w:rsidRDefault="00152640" w:rsidP="005C46CA">
      <w:pPr>
        <w:spacing w:after="0" w:line="240" w:lineRule="auto"/>
        <w:ind w:firstLine="810"/>
        <w:rPr>
          <w:rFonts w:ascii="Arial Black" w:eastAsia="Times New Roman" w:hAnsi="Arial Black" w:cs="Times New Roman"/>
          <w:color w:val="0070C0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val="es"/>
        </w:rPr>
        <w:t>SD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val="es"/>
        </w:rPr>
        <w:t>nuevo nro. de lote</w:t>
      </w:r>
      <w:r>
        <w:rPr>
          <w:rFonts w:ascii="Times New Roman" w:eastAsia="Times New Roman" w:hAnsi="Times New Roman" w:cs="Times New Roman"/>
          <w:sz w:val="32"/>
          <w:szCs w:val="32"/>
          <w:lang w:val="es"/>
        </w:rPr>
        <w:t xml:space="preserve"> = </w:t>
      </w:r>
    </w:p>
    <w:p w14:paraId="410073F0" w14:textId="77777777" w:rsidR="00152640" w:rsidRPr="00A34B8A" w:rsidRDefault="00152640" w:rsidP="005C46CA">
      <w:pPr>
        <w:spacing w:after="0" w:line="240" w:lineRule="auto"/>
        <w:ind w:firstLine="810"/>
        <w:rPr>
          <w:rFonts w:ascii="Times New Roman" w:eastAsia="Times New Roman" w:hAnsi="Times New Roman" w:cs="Times New Roman"/>
          <w:sz w:val="20"/>
          <w:szCs w:val="20"/>
        </w:rPr>
      </w:pPr>
    </w:p>
    <w:p w14:paraId="496CA883" w14:textId="77777777" w:rsidR="00152640" w:rsidRDefault="00152640" w:rsidP="00A34B8A">
      <w:pPr>
        <w:pStyle w:val="ListParagraph"/>
        <w:numPr>
          <w:ilvl w:val="0"/>
          <w:numId w:val="2"/>
        </w:numPr>
      </w:pPr>
      <w:r>
        <w:rPr>
          <w:lang w:val="es"/>
        </w:rPr>
        <w:t>Calcule sus rangos para ± 1 SD, ± 2 SD, ± 3 SD, ± 4 SD. Para evitar errores con el redondeo, realice el redondeo al final.</w:t>
      </w:r>
    </w:p>
    <w:p w14:paraId="688979C3" w14:textId="77777777" w:rsidR="00A34B8A" w:rsidRDefault="00A34B8A" w:rsidP="00A34B8A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17"/>
        <w:gridCol w:w="2079"/>
        <w:gridCol w:w="2345"/>
        <w:gridCol w:w="2260"/>
        <w:gridCol w:w="2362"/>
      </w:tblGrid>
      <w:tr w:rsidR="00A34B8A" w14:paraId="06BB6A11" w14:textId="77777777" w:rsidTr="00701D12">
        <w:tc>
          <w:tcPr>
            <w:tcW w:w="918" w:type="dxa"/>
          </w:tcPr>
          <w:p w14:paraId="7D111550" w14:textId="77777777" w:rsidR="00A34B8A" w:rsidRDefault="00A34B8A" w:rsidP="00701D12">
            <w:pPr>
              <w:pStyle w:val="ListParagraph"/>
              <w:ind w:left="0"/>
            </w:pPr>
          </w:p>
        </w:tc>
        <w:tc>
          <w:tcPr>
            <w:tcW w:w="2160" w:type="dxa"/>
          </w:tcPr>
          <w:p w14:paraId="136B9859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± 1 SD</w:t>
            </w:r>
          </w:p>
        </w:tc>
        <w:tc>
          <w:tcPr>
            <w:tcW w:w="2430" w:type="dxa"/>
          </w:tcPr>
          <w:p w14:paraId="21C05298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± 2 SD</w:t>
            </w:r>
          </w:p>
        </w:tc>
        <w:tc>
          <w:tcPr>
            <w:tcW w:w="2340" w:type="dxa"/>
          </w:tcPr>
          <w:p w14:paraId="6A2D56E6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± 3 SD</w:t>
            </w:r>
          </w:p>
        </w:tc>
        <w:tc>
          <w:tcPr>
            <w:tcW w:w="2448" w:type="dxa"/>
          </w:tcPr>
          <w:p w14:paraId="686BB2E8" w14:textId="77777777" w:rsidR="00A34B8A" w:rsidRPr="009E4A6F" w:rsidRDefault="00A34B8A" w:rsidP="00701D12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± 4 SD</w:t>
            </w:r>
          </w:p>
        </w:tc>
      </w:tr>
      <w:tr w:rsidR="00A34B8A" w14:paraId="64CFB321" w14:textId="77777777" w:rsidTr="00701D12">
        <w:tc>
          <w:tcPr>
            <w:tcW w:w="918" w:type="dxa"/>
          </w:tcPr>
          <w:p w14:paraId="5EE0C459" w14:textId="77777777" w:rsidR="00A34B8A" w:rsidRPr="009E4A6F" w:rsidRDefault="00A34B8A" w:rsidP="00701D12">
            <w:pPr>
              <w:pStyle w:val="ListParagraph"/>
              <w:ind w:left="0"/>
              <w:rPr>
                <w:b/>
              </w:rPr>
            </w:pPr>
            <w:r>
              <w:rPr>
                <w:b/>
                <w:bCs/>
                <w:lang w:val="es"/>
              </w:rPr>
              <w:t>Rango</w:t>
            </w:r>
          </w:p>
        </w:tc>
        <w:tc>
          <w:tcPr>
            <w:tcW w:w="2160" w:type="dxa"/>
          </w:tcPr>
          <w:p w14:paraId="6FD970AE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  <w:tc>
          <w:tcPr>
            <w:tcW w:w="2430" w:type="dxa"/>
          </w:tcPr>
          <w:p w14:paraId="03C4C810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  <w:tc>
          <w:tcPr>
            <w:tcW w:w="2340" w:type="dxa"/>
          </w:tcPr>
          <w:p w14:paraId="2F3BC33D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  <w:tc>
          <w:tcPr>
            <w:tcW w:w="2448" w:type="dxa"/>
          </w:tcPr>
          <w:p w14:paraId="22BDC232" w14:textId="77777777" w:rsidR="00A34B8A" w:rsidRPr="00B90758" w:rsidRDefault="00A34B8A" w:rsidP="00701D12">
            <w:pPr>
              <w:pStyle w:val="ListParagraph"/>
              <w:ind w:left="0"/>
              <w:rPr>
                <w:b/>
                <w:color w:val="0070C0"/>
              </w:rPr>
            </w:pPr>
          </w:p>
        </w:tc>
      </w:tr>
    </w:tbl>
    <w:p w14:paraId="0F17F752" w14:textId="77777777" w:rsidR="00584D8D" w:rsidRPr="00A34B8A" w:rsidRDefault="00584D8D" w:rsidP="00584D8D">
      <w:pPr>
        <w:pStyle w:val="ListParagraph"/>
        <w:rPr>
          <w:sz w:val="20"/>
          <w:szCs w:val="20"/>
        </w:rPr>
      </w:pPr>
    </w:p>
    <w:p w14:paraId="2577C1B5" w14:textId="77777777" w:rsidR="005C46CA" w:rsidRPr="00437C70" w:rsidRDefault="00232BB0" w:rsidP="00A34B8A">
      <w:pPr>
        <w:pStyle w:val="ListParagraph"/>
        <w:numPr>
          <w:ilvl w:val="0"/>
          <w:numId w:val="2"/>
        </w:numPr>
      </w:pPr>
      <w:r>
        <w:rPr>
          <w:lang w:val="es"/>
        </w:rPr>
        <w:t xml:space="preserve">Verifique la media y la desviación estándar del nuevo número de lote cuando estén disponibles los datos de un período más largo de operación estable.  </w:t>
      </w:r>
    </w:p>
    <w:sectPr w:rsidR="005C46CA" w:rsidRPr="00437C70" w:rsidSect="00BD50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B2BB" w14:textId="77777777" w:rsidR="004B6B06" w:rsidRDefault="004B6B06" w:rsidP="009530CA">
      <w:pPr>
        <w:spacing w:after="0" w:line="240" w:lineRule="auto"/>
      </w:pPr>
      <w:r>
        <w:separator/>
      </w:r>
    </w:p>
  </w:endnote>
  <w:endnote w:type="continuationSeparator" w:id="0">
    <w:p w14:paraId="3C6A7460" w14:textId="77777777" w:rsidR="004B6B06" w:rsidRDefault="004B6B06" w:rsidP="00953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6E600" w14:textId="77777777" w:rsidR="005208B6" w:rsidRDefault="005208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845933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71D64BE" w14:textId="31806FBB" w:rsidR="005208B6" w:rsidRDefault="005208B6">
            <w:pPr>
              <w:pStyle w:val="Footer"/>
            </w:pPr>
            <w:r>
              <w:rPr>
                <w:lang w:val="es"/>
              </w:rPr>
              <w:t xml:space="preserve">Página </w:t>
            </w:r>
            <w:r>
              <w:rPr>
                <w:sz w:val="24"/>
                <w:szCs w:val="24"/>
                <w:lang w:val="es"/>
              </w:rPr>
              <w:fldChar w:fldCharType="begin"/>
            </w:r>
            <w:r>
              <w:rPr>
                <w:lang w:val="es"/>
              </w:rPr>
              <w:instrText xml:space="preserve"> PAGE </w:instrText>
            </w:r>
            <w:r>
              <w:rPr>
                <w:sz w:val="24"/>
                <w:szCs w:val="24"/>
                <w:lang w:val="es"/>
              </w:rPr>
              <w:fldChar w:fldCharType="separate"/>
            </w:r>
            <w:r>
              <w:rPr>
                <w:b/>
                <w:bCs/>
                <w:noProof/>
                <w:lang w:val="es"/>
              </w:rPr>
              <w:t>2</w:t>
            </w:r>
            <w:r>
              <w:rPr>
                <w:sz w:val="24"/>
                <w:szCs w:val="24"/>
                <w:lang w:val="es"/>
              </w:rPr>
              <w:fldChar w:fldCharType="end"/>
            </w:r>
            <w:r>
              <w:rPr>
                <w:lang w:val="es"/>
              </w:rPr>
              <w:t xml:space="preserve"> de </w:t>
            </w:r>
            <w:r>
              <w:rPr>
                <w:sz w:val="24"/>
                <w:szCs w:val="24"/>
                <w:lang w:val="es"/>
              </w:rPr>
              <w:fldChar w:fldCharType="begin"/>
            </w:r>
            <w:r>
              <w:rPr>
                <w:lang w:val="es"/>
              </w:rPr>
              <w:instrText xml:space="preserve"> NUMPAGES  </w:instrText>
            </w:r>
            <w:r>
              <w:rPr>
                <w:sz w:val="24"/>
                <w:szCs w:val="24"/>
                <w:lang w:val="es"/>
              </w:rPr>
              <w:fldChar w:fldCharType="separate"/>
            </w:r>
            <w:r>
              <w:rPr>
                <w:b/>
                <w:bCs/>
                <w:noProof/>
                <w:lang w:val="es"/>
              </w:rPr>
              <w:t>2</w:t>
            </w:r>
            <w:r>
              <w:rPr>
                <w:sz w:val="24"/>
                <w:szCs w:val="24"/>
                <w:lang w:val="es"/>
              </w:rPr>
              <w:fldChar w:fldCharType="end"/>
            </w:r>
          </w:p>
        </w:sdtContent>
      </w:sdt>
    </w:sdtContent>
  </w:sdt>
  <w:p w14:paraId="032EDFE4" w14:textId="77777777" w:rsidR="009530CA" w:rsidRPr="009530CA" w:rsidRDefault="009530CA" w:rsidP="009530CA">
    <w:pPr>
      <w:pStyle w:val="Footer"/>
      <w:jc w:val="right"/>
      <w:rPr>
        <w:rFonts w:ascii="Arial" w:hAnsi="Arial" w:cs="Arial"/>
        <w:b/>
        <w:color w:val="0099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C95E" w14:textId="77777777" w:rsidR="005208B6" w:rsidRDefault="00520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616D0" w14:textId="77777777" w:rsidR="004B6B06" w:rsidRDefault="004B6B06" w:rsidP="009530CA">
      <w:pPr>
        <w:spacing w:after="0" w:line="240" w:lineRule="auto"/>
      </w:pPr>
      <w:r>
        <w:separator/>
      </w:r>
    </w:p>
  </w:footnote>
  <w:footnote w:type="continuationSeparator" w:id="0">
    <w:p w14:paraId="353A37E8" w14:textId="77777777" w:rsidR="004B6B06" w:rsidRDefault="004B6B06" w:rsidP="00953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44A4E" w14:textId="77777777" w:rsidR="005208B6" w:rsidRDefault="005208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11EF" w14:textId="77777777" w:rsidR="009530CA" w:rsidRPr="009530CA" w:rsidRDefault="009530CA" w:rsidP="009530CA">
    <w:pPr>
      <w:shd w:val="clear" w:color="auto" w:fill="996633"/>
      <w:tabs>
        <w:tab w:val="right" w:pos="13680"/>
      </w:tabs>
      <w:spacing w:after="0" w:line="240" w:lineRule="auto"/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Hoja de trabajo: Aplicación del % de CV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605</w:t>
    </w:r>
  </w:p>
  <w:p w14:paraId="795BE66C" w14:textId="77777777" w:rsidR="009530CA" w:rsidRDefault="009530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9C18" w14:textId="77777777" w:rsidR="005208B6" w:rsidRDefault="005208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45C06"/>
    <w:multiLevelType w:val="hybridMultilevel"/>
    <w:tmpl w:val="F906F89C"/>
    <w:lvl w:ilvl="0" w:tplc="060C613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95C12"/>
    <w:multiLevelType w:val="hybridMultilevel"/>
    <w:tmpl w:val="BFAA94B4"/>
    <w:lvl w:ilvl="0" w:tplc="45CAC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540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5C2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C40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2A88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1EA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44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89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F6DF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E421AFE"/>
    <w:multiLevelType w:val="hybridMultilevel"/>
    <w:tmpl w:val="899E09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538735">
    <w:abstractNumId w:val="1"/>
  </w:num>
  <w:num w:numId="2" w16cid:durableId="976370983">
    <w:abstractNumId w:val="0"/>
  </w:num>
  <w:num w:numId="3" w16cid:durableId="533999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C70"/>
    <w:rsid w:val="000E0109"/>
    <w:rsid w:val="00152640"/>
    <w:rsid w:val="00232BB0"/>
    <w:rsid w:val="002D0722"/>
    <w:rsid w:val="00363298"/>
    <w:rsid w:val="003669F7"/>
    <w:rsid w:val="00397349"/>
    <w:rsid w:val="00437C70"/>
    <w:rsid w:val="004B6B06"/>
    <w:rsid w:val="005208B6"/>
    <w:rsid w:val="00522FF8"/>
    <w:rsid w:val="00584D8D"/>
    <w:rsid w:val="005A65DF"/>
    <w:rsid w:val="005C46CA"/>
    <w:rsid w:val="005F4764"/>
    <w:rsid w:val="006B2E29"/>
    <w:rsid w:val="006F7265"/>
    <w:rsid w:val="009530CA"/>
    <w:rsid w:val="009861DD"/>
    <w:rsid w:val="009F1D7C"/>
    <w:rsid w:val="00A34B8A"/>
    <w:rsid w:val="00B50B77"/>
    <w:rsid w:val="00B751C0"/>
    <w:rsid w:val="00BB5B6C"/>
    <w:rsid w:val="00BD50F9"/>
    <w:rsid w:val="00C07251"/>
    <w:rsid w:val="00CA39A6"/>
    <w:rsid w:val="00CB2876"/>
    <w:rsid w:val="00D743E5"/>
    <w:rsid w:val="00E707DA"/>
    <w:rsid w:val="00EE3155"/>
    <w:rsid w:val="00F5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265F0"/>
  <w15:docId w15:val="{7ACE1E3A-634C-467E-8AF4-593750EB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C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37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4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6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0CA"/>
  </w:style>
  <w:style w:type="paragraph" w:styleId="Footer">
    <w:name w:val="footer"/>
    <w:basedOn w:val="Normal"/>
    <w:link w:val="FooterChar"/>
    <w:uiPriority w:val="99"/>
    <w:unhideWhenUsed/>
    <w:rsid w:val="00953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35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19</cp:revision>
  <dcterms:created xsi:type="dcterms:W3CDTF">2012-09-06T10:08:00Z</dcterms:created>
  <dcterms:modified xsi:type="dcterms:W3CDTF">2025-05-01T21:15:00Z</dcterms:modified>
</cp:coreProperties>
</file>