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817" w:rsidRDefault="007D6817" w:rsidP="007D6817">
      <w:pPr>
        <w:rPr>
          <w:b/>
          <w:sz w:val="32"/>
          <w:szCs w:val="32"/>
        </w:rPr>
        <w:bidi w:val="0"/>
      </w:pPr>
      <w:r>
        <w:rPr>
          <w:rFonts w:eastAsia="MS PGothic"/>
          <w:noProof/>
          <w:color w:val="000000" w:themeColor="text1"/>
          <w:kern w:val="24"/>
          <w:sz w:val="24"/>
          <w:szCs w:val="24"/>
          <w:lang w:val="es"/>
          <w:b w:val="0"/>
          <w:bCs w:val="0"/>
          <w:i w:val="0"/>
          <w:iCs w:val="0"/>
          <w:u w:val="none"/>
          <w:vertAlign w:val="baseline"/>
          <w:rtl w:val="0"/>
        </w:rPr>
        <w:drawing>
          <wp:anchor distT="0" distB="0" distL="114300" distR="114300" simplePos="0" relativeHeight="251660288" behindDoc="0" locked="0" layoutInCell="1" allowOverlap="1" wp14:anchorId="325254EE" wp14:editId="1B90FF9C">
            <wp:simplePos x="0" y="0"/>
            <wp:positionH relativeFrom="column">
              <wp:posOffset>7086600</wp:posOffset>
            </wp:positionH>
            <wp:positionV relativeFrom="paragraph">
              <wp:posOffset>-257175</wp:posOffset>
            </wp:positionV>
            <wp:extent cx="1790700" cy="685800"/>
            <wp:effectExtent l="0" t="0" r="0" b="0"/>
            <wp:wrapSquare wrapText="bothSides"/>
            <wp:docPr id="2" name="Picture 2" descr="C:\Users\Anna\AppData\Local\Microsoft\Windows\Temporary Internet Files\Content.IE5\7UO3NZUC\MP9004491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AppData\Local\Microsoft\Windows\Temporary Internet Files\Content.IE5\7UO3NZUC\MP900449104[1].jpg"/>
                    <pic:cNvPicPr>
                      <a:picLocks noChangeAspect="1" noChangeArrowheads="1"/>
                    </pic:cNvPicPr>
                  </pic:nvPicPr>
                  <pic:blipFill>
                    <a:blip r:embed="rId5" cstate="print">
                      <a:grayscl/>
                      <a:extLst>
                        <a:ext uri="{BEBA8EAE-BF5A-486C-A8C5-ECC9F3942E4B}">
                          <a14:imgProps xmlns:a14="http://schemas.microsoft.com/office/drawing/2010/main">
                            <a14:imgLayer r:embed="rId6">
                              <a14:imgEffect>
                                <a14:brightnessContrast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1790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2876" w:rsidRPr="007A6C02" w:rsidRDefault="007D6817" w:rsidP="00105031">
      <w:pPr>
        <w:ind w:right="-2340" w:firstLine="720"/>
        <w:jc w:val="right"/>
        <w:rPr>
          <w:b/>
          <w:sz w:val="32"/>
          <w:szCs w:val="32"/>
        </w:rPr>
        <w:bidi w:val="0"/>
      </w:pPr>
      <w:r>
        <w:rPr>
          <w:noProof/>
          <w:color w:val="000000" w:themeColor="text1"/>
          <w:kern w:val="24"/>
          <w:sz w:val="24"/>
          <w:szCs w:val="24"/>
          <w:lang w:val="es"/>
          <w:b w:val="0"/>
          <w:bCs w:val="0"/>
          <w:i w:val="0"/>
          <w:iCs w:val="0"/>
          <w:u w:val="none"/>
          <w:vertAlign w:val="baseline"/>
          <w:rtl w:val="0"/>
        </w:rPr>
        <w:drawing>
          <wp:anchor distT="0" distB="0" distL="114300" distR="114300" simplePos="0" relativeHeight="251658240" behindDoc="0" locked="0" layoutInCell="1" allowOverlap="1" wp14:anchorId="7C2291DC" wp14:editId="5542A619">
            <wp:simplePos x="0" y="0"/>
            <wp:positionH relativeFrom="column">
              <wp:posOffset>7086600</wp:posOffset>
            </wp:positionH>
            <wp:positionV relativeFrom="paragraph">
              <wp:posOffset>377825</wp:posOffset>
            </wp:positionV>
            <wp:extent cx="1866900" cy="733425"/>
            <wp:effectExtent l="0" t="0" r="0" b="9525"/>
            <wp:wrapSquare wrapText="bothSides"/>
            <wp:docPr id="1" name="Picture 1" descr="C:\Users\Anna\AppData\Local\Microsoft\Windows\Temporary Internet Files\Content.IE5\7UO3NZUC\MP9004491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AppData\Local\Microsoft\Windows\Temporary Internet Files\Content.IE5\7UO3NZUC\MP900449104[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690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lang w:val="es"/>
          <w:b w:val="1"/>
          <w:bCs w:val="1"/>
          <w:i w:val="0"/>
          <w:iCs w:val="0"/>
          <w:u w:val="none"/>
          <w:vertAlign w:val="baseline"/>
          <w:rtl w:val="0"/>
        </w:rPr>
        <w:t xml:space="preserve">Ayuda de trabajo 2: </w:t>
      </w:r>
      <w:r>
        <w:rPr>
          <w:sz w:val="32"/>
          <w:szCs w:val="32"/>
          <w:lang w:val="es"/>
          <w:b w:val="1"/>
          <w:bCs w:val="1"/>
          <w:i w:val="0"/>
          <w:iCs w:val="0"/>
          <w:u w:val="none"/>
          <w:vertAlign w:val="baseline"/>
          <w:rtl w:val="0"/>
        </w:rPr>
        <w:t xml:space="preserve">Pruebas en paralelo </w:t>
      </w:r>
      <w:r>
        <w:rPr>
          <w:sz w:val="32"/>
          <w:szCs w:val="32"/>
          <w:lang w:val="es"/>
          <w:b w:val="1"/>
          <w:bCs w:val="1"/>
          <w:i w:val="0"/>
          <w:iCs w:val="0"/>
          <w:u w:val="none"/>
          <w:vertAlign w:val="superscript"/>
          <w:rtl w:val="0"/>
        </w:rPr>
        <w:t xml:space="preserve">607</w:t>
      </w:r>
      <w:r>
        <w:rPr>
          <w:sz w:val="32"/>
          <w:szCs w:val="32"/>
          <w:lang w:val="es"/>
          <w:b w:val="1"/>
          <w:bCs w:val="1"/>
          <w:i w:val="0"/>
          <w:iCs w:val="0"/>
          <w:u w:val="none"/>
          <w:vertAlign w:val="baseline"/>
          <w:rtl w:val="0"/>
        </w:rPr>
        <w:t xml:space="preserve">   </w:t>
      </w:r>
    </w:p>
    <w:p w:rsidR="007A6C02" w:rsidRPr="007D6817" w:rsidRDefault="007A6C02" w:rsidP="00764612">
      <w:pPr>
        <w:pStyle w:val="ListParagraph"/>
        <w:ind w:hanging="810"/>
        <w:rPr>
          <w:b/>
          <w:sz w:val="24"/>
          <w:szCs w:val="24"/>
        </w:rPr>
        <w:bidi w:val="0"/>
      </w:pPr>
      <w:r>
        <w:rPr>
          <w:sz w:val="28"/>
          <w:szCs w:val="28"/>
          <w:lang w:val="es"/>
          <w:b w:val="1"/>
          <w:bCs w:val="1"/>
          <w:i w:val="0"/>
          <w:iCs w:val="0"/>
          <w:u w:val="none"/>
          <w:vertAlign w:val="baseline"/>
          <w:rtl w:val="0"/>
        </w:rPr>
        <w:t xml:space="preserve">Los nuevos números de lote de los materiales de control se analizan en paralelo con el material de control actualmente en uso</w:t>
      </w:r>
      <w:r>
        <w:rPr>
          <w:sz w:val="24"/>
          <w:szCs w:val="24"/>
          <w:lang w:val="es"/>
          <w:b w:val="1"/>
          <w:bCs w:val="1"/>
          <w:i w:val="0"/>
          <w:iCs w:val="0"/>
          <w:u w:val="none"/>
          <w:vertAlign w:val="baseline"/>
          <w:rtl w:val="0"/>
        </w:rPr>
        <w:t xml:space="preserve">.</w:t>
      </w:r>
    </w:p>
    <w:p w:rsidR="003B46C9" w:rsidRPr="007A6C02" w:rsidRDefault="003B46C9" w:rsidP="00764612">
      <w:pPr>
        <w:pStyle w:val="ListParagraph"/>
        <w:numPr>
          <w:ilvl w:val="0"/>
          <w:numId w:val="1"/>
        </w:numPr>
        <w:rPr>
          <w:sz w:val="24"/>
          <w:szCs w:val="24"/>
        </w:rPr>
        <w:bidi w:val="0"/>
      </w:pPr>
      <w:r>
        <w:rPr>
          <w:sz w:val="24"/>
          <w:szCs w:val="24"/>
          <w:lang w:val="es"/>
          <w:b w:val="1"/>
          <w:bCs w:val="1"/>
          <w:i w:val="0"/>
          <w:iCs w:val="0"/>
          <w:u w:val="none"/>
          <w:vertAlign w:val="baseline"/>
          <w:rtl w:val="0"/>
        </w:rPr>
        <w:t xml:space="preserve">Paso 1</w:t>
      </w:r>
      <w:r>
        <w:rPr>
          <w:sz w:val="24"/>
          <w:szCs w:val="24"/>
          <w:lang w:val="es"/>
          <w:b w:val="0"/>
          <w:bCs w:val="0"/>
          <w:i w:val="0"/>
          <w:iCs w:val="0"/>
          <w:u w:val="none"/>
          <w:vertAlign w:val="baseline"/>
          <w:rtl w:val="0"/>
        </w:rPr>
        <w:t xml:space="preserve">: Utilice la información del prospecto:</w:t>
      </w:r>
    </w:p>
    <w:p w:rsidR="003B46C9" w:rsidRPr="007A6C02" w:rsidRDefault="007A6C02" w:rsidP="00764612">
      <w:pPr>
        <w:pStyle w:val="ListParagraph"/>
        <w:numPr>
          <w:ilvl w:val="1"/>
          <w:numId w:val="1"/>
        </w:numPr>
        <w:rPr>
          <w:sz w:val="24"/>
          <w:szCs w:val="24"/>
        </w:rPr>
        <w:bidi w:val="0"/>
      </w:pPr>
      <w:r>
        <w:rPr>
          <w:sz w:val="24"/>
          <w:szCs w:val="24"/>
          <w:lang w:val="es"/>
          <w:b w:val="0"/>
          <w:bCs w:val="0"/>
          <w:i w:val="0"/>
          <w:iCs w:val="0"/>
          <w:u w:val="none"/>
          <w:vertAlign w:val="baseline"/>
          <w:rtl w:val="0"/>
        </w:rPr>
        <w:t xml:space="preserve">Establezca los límites de control iniciales, generalmente un rango de ± 2 SD, para el nuevo número de lote de control.</w:t>
      </w:r>
    </w:p>
    <w:p w:rsidR="003B46C9" w:rsidRPr="007A6C02" w:rsidRDefault="00412598" w:rsidP="00764612">
      <w:pPr>
        <w:pStyle w:val="ListParagraph"/>
        <w:numPr>
          <w:ilvl w:val="1"/>
          <w:numId w:val="1"/>
        </w:numPr>
        <w:rPr>
          <w:sz w:val="24"/>
          <w:szCs w:val="24"/>
        </w:rPr>
        <w:bidi w:val="0"/>
      </w:pPr>
      <w:r>
        <w:rPr>
          <w:sz w:val="24"/>
          <w:szCs w:val="24"/>
          <w:lang w:val="es"/>
          <w:b w:val="0"/>
          <w:bCs w:val="0"/>
          <w:i w:val="0"/>
          <w:iCs w:val="0"/>
          <w:u w:val="none"/>
          <w:vertAlign w:val="baseline"/>
          <w:rtl w:val="0"/>
        </w:rPr>
        <w:t xml:space="preserve">Utilice este rango </w:t>
      </w:r>
      <w:r>
        <w:rPr>
          <w:sz w:val="24"/>
          <w:szCs w:val="24"/>
          <w:lang w:val="es"/>
          <w:b w:val="0"/>
          <w:bCs w:val="0"/>
          <w:i w:val="0"/>
          <w:iCs w:val="0"/>
          <w:u w:val="single"/>
          <w:vertAlign w:val="baseline"/>
          <w:rtl w:val="0"/>
        </w:rPr>
        <w:t xml:space="preserve">solo</w:t>
      </w:r>
      <w:r>
        <w:rPr>
          <w:sz w:val="24"/>
          <w:szCs w:val="24"/>
          <w:lang w:val="es"/>
          <w:b w:val="0"/>
          <w:bCs w:val="0"/>
          <w:i w:val="0"/>
          <w:iCs w:val="0"/>
          <w:u w:val="none"/>
          <w:vertAlign w:val="baseline"/>
          <w:rtl w:val="0"/>
        </w:rPr>
        <w:t xml:space="preserve"> como guía para garantizar que el material de control sea aceptable (enviado y almacenado correctamente).</w:t>
      </w:r>
    </w:p>
    <w:p w:rsidR="003B46C9" w:rsidRPr="007A6C02" w:rsidRDefault="003B46C9" w:rsidP="00764612">
      <w:pPr>
        <w:pStyle w:val="ListParagraph"/>
        <w:numPr>
          <w:ilvl w:val="0"/>
          <w:numId w:val="1"/>
        </w:numPr>
        <w:rPr>
          <w:sz w:val="24"/>
          <w:szCs w:val="24"/>
        </w:rPr>
        <w:bidi w:val="0"/>
      </w:pPr>
      <w:r>
        <w:rPr>
          <w:sz w:val="24"/>
          <w:szCs w:val="24"/>
          <w:lang w:val="es"/>
          <w:b w:val="1"/>
          <w:bCs w:val="1"/>
          <w:i w:val="0"/>
          <w:iCs w:val="0"/>
          <w:u w:val="none"/>
          <w:vertAlign w:val="baseline"/>
          <w:rtl w:val="0"/>
        </w:rPr>
        <w:t xml:space="preserve">Paso 2</w:t>
      </w:r>
      <w:r>
        <w:rPr>
          <w:sz w:val="24"/>
          <w:szCs w:val="24"/>
          <w:lang w:val="es"/>
          <w:b w:val="0"/>
          <w:bCs w:val="0"/>
          <w:i w:val="0"/>
          <w:iCs w:val="0"/>
          <w:u w:val="none"/>
          <w:vertAlign w:val="baseline"/>
          <w:rtl w:val="0"/>
        </w:rPr>
        <w:t xml:space="preserve">: Para cada día de pruebas en paralelo:</w:t>
      </w:r>
    </w:p>
    <w:p w:rsidR="00412598" w:rsidRDefault="003B46C9" w:rsidP="00764612">
      <w:pPr>
        <w:pStyle w:val="ListParagraph"/>
        <w:numPr>
          <w:ilvl w:val="1"/>
          <w:numId w:val="1"/>
        </w:numPr>
        <w:rPr>
          <w:sz w:val="24"/>
          <w:szCs w:val="24"/>
        </w:rPr>
        <w:bidi w:val="0"/>
      </w:pPr>
      <w:r>
        <w:rPr>
          <w:sz w:val="24"/>
          <w:szCs w:val="24"/>
          <w:lang w:val="es"/>
          <w:b w:val="0"/>
          <w:bCs w:val="0"/>
          <w:i w:val="0"/>
          <w:iCs w:val="0"/>
          <w:u w:val="none"/>
          <w:vertAlign w:val="baseline"/>
          <w:rtl w:val="0"/>
        </w:rPr>
        <w:t xml:space="preserve">Pruebe el número de lote actual del control para confirmar que el instrumento/método funciona dentro de las especificaciones de calidad. </w:t>
      </w:r>
    </w:p>
    <w:p w:rsidR="003B46C9" w:rsidRPr="00412598" w:rsidRDefault="007A6C02" w:rsidP="00764612">
      <w:pPr>
        <w:pStyle w:val="ListParagraph"/>
        <w:numPr>
          <w:ilvl w:val="1"/>
          <w:numId w:val="1"/>
        </w:numPr>
        <w:rPr>
          <w:sz w:val="24"/>
          <w:szCs w:val="24"/>
        </w:rPr>
        <w:bidi w:val="0"/>
      </w:pPr>
      <w:r>
        <w:rPr>
          <w:sz w:val="24"/>
          <w:szCs w:val="24"/>
          <w:lang w:val="es"/>
          <w:b w:val="0"/>
          <w:bCs w:val="0"/>
          <w:i w:val="0"/>
          <w:iCs w:val="0"/>
          <w:u w:val="none"/>
          <w:vertAlign w:val="baseline"/>
          <w:rtl w:val="0"/>
        </w:rPr>
        <w:t xml:space="preserve">Analice el nuevo material de control y asegúrese de que el punto de datos se encuentre dentro del rango de ± 2 SD.</w:t>
      </w:r>
    </w:p>
    <w:p w:rsidR="007A6C02" w:rsidRPr="007A6C02" w:rsidRDefault="007A6C02" w:rsidP="00764612">
      <w:pPr>
        <w:pStyle w:val="ListParagraph"/>
        <w:numPr>
          <w:ilvl w:val="1"/>
          <w:numId w:val="1"/>
        </w:numPr>
        <w:rPr>
          <w:sz w:val="24"/>
          <w:szCs w:val="24"/>
        </w:rPr>
        <w:bidi w:val="0"/>
      </w:pPr>
      <w:r>
        <w:rPr>
          <w:sz w:val="24"/>
          <w:szCs w:val="24"/>
          <w:lang w:val="es"/>
          <w:b w:val="0"/>
          <w:bCs w:val="0"/>
          <w:i w:val="0"/>
          <w:iCs w:val="0"/>
          <w:u w:val="none"/>
          <w:vertAlign w:val="baseline"/>
          <w:rtl w:val="0"/>
        </w:rPr>
        <w:t xml:space="preserve">Manipule el material del nuevo número de lote de la misma manera para abarcar las fuentes de variabilidad normales del día a día (aleatoriedad inherente) encontradas en un procedimiento de rutina, por ejemplo:</w:t>
      </w:r>
    </w:p>
    <w:p w:rsidR="007A6C02" w:rsidRDefault="007A6C02" w:rsidP="00764612">
      <w:pPr>
        <w:pStyle w:val="ListParagraph"/>
        <w:numPr>
          <w:ilvl w:val="2"/>
          <w:numId w:val="1"/>
        </w:numPr>
        <w:rPr>
          <w:sz w:val="24"/>
          <w:szCs w:val="24"/>
        </w:rPr>
        <w:bidi w:val="0"/>
      </w:pPr>
      <w:r>
        <w:rPr>
          <w:sz w:val="24"/>
          <w:szCs w:val="24"/>
          <w:lang w:val="es"/>
          <w:b w:val="0"/>
          <w:bCs w:val="0"/>
          <w:i w:val="0"/>
          <w:iCs w:val="0"/>
          <w:u w:val="none"/>
          <w:vertAlign w:val="baseline"/>
          <w:rtl w:val="0"/>
        </w:rPr>
        <w:t xml:space="preserve">Fecha de vencimiento en uso: si un frasco abierto de material de control se utiliza durante más de 1 día en un procedimiento de rutina en su centro, entonces esta práctica debe realizarse con el nuevo número de lote para que la estabilidad del control se refleje en sus datos. </w:t>
      </w:r>
    </w:p>
    <w:p w:rsidR="007A6C02" w:rsidRPr="00596DF5" w:rsidRDefault="007A6C02" w:rsidP="00596DF5">
      <w:pPr>
        <w:pStyle w:val="ListParagraph"/>
        <w:numPr>
          <w:ilvl w:val="2"/>
          <w:numId w:val="1"/>
        </w:numPr>
        <w:tabs>
          <w:tab w:val="left" w:pos="-90"/>
        </w:tabs>
        <w:rPr>
          <w:sz w:val="24"/>
          <w:szCs w:val="24"/>
        </w:rPr>
        <w:bidi w:val="0"/>
      </w:pPr>
      <w:r>
        <w:rPr>
          <w:sz w:val="24"/>
          <w:szCs w:val="24"/>
          <w:lang w:val="es"/>
          <w:b w:val="0"/>
          <w:bCs w:val="0"/>
          <w:i w:val="0"/>
          <w:iCs w:val="0"/>
          <w:u w:val="none"/>
          <w:vertAlign w:val="baseline"/>
          <w:rtl w:val="0"/>
        </w:rPr>
        <w:t xml:space="preserve">Personal técnico asignado en un procedimiento de rutina a ese puesto de trabajo. </w:t>
      </w:r>
    </w:p>
    <w:p w:rsidR="00596DF5" w:rsidRPr="007A6C02" w:rsidRDefault="00596DF5" w:rsidP="00764612">
      <w:pPr>
        <w:pStyle w:val="ListParagraph"/>
        <w:numPr>
          <w:ilvl w:val="2"/>
          <w:numId w:val="1"/>
        </w:numPr>
        <w:rPr>
          <w:sz w:val="24"/>
          <w:szCs w:val="24"/>
        </w:rPr>
        <w:bidi w:val="0"/>
      </w:pPr>
      <w:r>
        <w:rPr>
          <w:sz w:val="24"/>
          <w:szCs w:val="24"/>
          <w:lang w:val="es"/>
          <w:b w:val="0"/>
          <w:bCs w:val="0"/>
          <w:i w:val="0"/>
          <w:iCs w:val="0"/>
          <w:u w:val="none"/>
          <w:vertAlign w:val="baseline"/>
          <w:rtl w:val="0"/>
        </w:rPr>
        <w:t xml:space="preserve">Mantenimiento de los instrumentos conforme a lo previsto.</w:t>
      </w:r>
    </w:p>
    <w:p w:rsidR="007A6C02" w:rsidRPr="007A6C02" w:rsidRDefault="007A6C02" w:rsidP="00764612">
      <w:pPr>
        <w:pStyle w:val="ListParagraph"/>
        <w:numPr>
          <w:ilvl w:val="0"/>
          <w:numId w:val="1"/>
        </w:numPr>
        <w:rPr>
          <w:sz w:val="24"/>
          <w:szCs w:val="24"/>
        </w:rPr>
        <w:bidi w:val="0"/>
      </w:pPr>
      <w:r>
        <w:rPr>
          <w:sz w:val="24"/>
          <w:szCs w:val="24"/>
          <w:lang w:val="es"/>
          <w:b w:val="1"/>
          <w:bCs w:val="1"/>
          <w:i w:val="0"/>
          <w:iCs w:val="0"/>
          <w:u w:val="none"/>
          <w:vertAlign w:val="baseline"/>
          <w:rtl w:val="0"/>
        </w:rPr>
        <w:t xml:space="preserve">Paso 3</w:t>
      </w:r>
      <w:r>
        <w:rPr>
          <w:sz w:val="24"/>
          <w:szCs w:val="24"/>
          <w:lang w:val="es"/>
          <w:b w:val="0"/>
          <w:bCs w:val="0"/>
          <w:i w:val="0"/>
          <w:iCs w:val="0"/>
          <w:u w:val="none"/>
          <w:vertAlign w:val="baseline"/>
          <w:rtl w:val="0"/>
        </w:rPr>
        <w:t xml:space="preserve">: Prueba en serie de un nuevo número de lote de material de control.</w:t>
      </w:r>
    </w:p>
    <w:p w:rsidR="007A6C02" w:rsidRDefault="007A6C02" w:rsidP="00764612">
      <w:pPr>
        <w:pStyle w:val="ListParagraph"/>
        <w:numPr>
          <w:ilvl w:val="1"/>
          <w:numId w:val="1"/>
        </w:numPr>
        <w:rPr>
          <w:sz w:val="24"/>
          <w:szCs w:val="24"/>
        </w:rPr>
        <w:bidi w:val="0"/>
      </w:pPr>
      <w:r>
        <w:rPr>
          <w:sz w:val="24"/>
          <w:szCs w:val="24"/>
          <w:lang w:val="es"/>
          <w:b w:val="0"/>
          <w:bCs w:val="0"/>
          <w:i w:val="0"/>
          <w:iCs w:val="0"/>
          <w:u w:val="none"/>
          <w:vertAlign w:val="baseline"/>
          <w:rtl w:val="0"/>
        </w:rPr>
        <w:t xml:space="preserve">Recopile un mínimo de 20 puntos de datos del nuevo número de lote.</w:t>
      </w:r>
    </w:p>
    <w:p w:rsidR="007A6C02" w:rsidRDefault="007A6C02" w:rsidP="00764612">
      <w:pPr>
        <w:pStyle w:val="ListParagraph"/>
        <w:numPr>
          <w:ilvl w:val="2"/>
          <w:numId w:val="1"/>
        </w:numPr>
        <w:rPr>
          <w:sz w:val="24"/>
          <w:szCs w:val="24"/>
        </w:rPr>
        <w:bidi w:val="0"/>
      </w:pPr>
      <w:r>
        <w:rPr>
          <w:sz w:val="24"/>
          <w:szCs w:val="24"/>
          <w:lang w:val="es"/>
          <w:b w:val="0"/>
          <w:bCs w:val="0"/>
          <w:i w:val="0"/>
          <w:iCs w:val="0"/>
          <w:u w:val="none"/>
          <w:vertAlign w:val="baseline"/>
          <w:rtl w:val="0"/>
        </w:rPr>
        <w:t xml:space="preserve">Preferiblemente durante un período de 20 días. </w:t>
      </w:r>
    </w:p>
    <w:p w:rsidR="007A6C02" w:rsidRDefault="007A6C02" w:rsidP="00764612">
      <w:pPr>
        <w:pStyle w:val="ListParagraph"/>
        <w:numPr>
          <w:ilvl w:val="2"/>
          <w:numId w:val="1"/>
        </w:numPr>
        <w:rPr>
          <w:sz w:val="24"/>
          <w:szCs w:val="24"/>
        </w:rPr>
        <w:bidi w:val="0"/>
      </w:pPr>
      <w:r>
        <w:rPr>
          <w:sz w:val="24"/>
          <w:szCs w:val="24"/>
          <w:lang w:val="es"/>
          <w:b w:val="0"/>
          <w:bCs w:val="0"/>
          <w:i w:val="0"/>
          <w:iCs w:val="0"/>
          <w:u w:val="none"/>
          <w:vertAlign w:val="baseline"/>
          <w:rtl w:val="0"/>
        </w:rPr>
        <w:t xml:space="preserve">Si se debe utilizar un período más corto, recopile 20 puntos de datos durante un período de 10 días mediante el análisis del nuevo número de lote dos veces al día.</w:t>
      </w:r>
    </w:p>
    <w:p w:rsidR="007A6C02" w:rsidRDefault="007D6817" w:rsidP="00764612">
      <w:pPr>
        <w:pStyle w:val="ListParagraph"/>
        <w:numPr>
          <w:ilvl w:val="1"/>
          <w:numId w:val="1"/>
        </w:numPr>
        <w:rPr>
          <w:sz w:val="24"/>
          <w:szCs w:val="24"/>
        </w:rPr>
        <w:bidi w:val="0"/>
      </w:pPr>
      <w:r>
        <w:rPr>
          <w:sz w:val="24"/>
          <w:szCs w:val="24"/>
          <w:lang w:val="es"/>
          <w:b w:val="0"/>
          <w:bCs w:val="0"/>
          <w:i w:val="0"/>
          <w:iCs w:val="0"/>
          <w:u w:val="none"/>
          <w:vertAlign w:val="baseline"/>
          <w:rtl w:val="0"/>
        </w:rPr>
        <w:t xml:space="preserve">Registre los puntos de datos y conserve las impresiones de los instrumentos, si procede.</w:t>
      </w:r>
    </w:p>
    <w:p w:rsidR="007D6817" w:rsidRDefault="007D6817" w:rsidP="00764612">
      <w:pPr>
        <w:pStyle w:val="ListParagraph"/>
        <w:numPr>
          <w:ilvl w:val="0"/>
          <w:numId w:val="1"/>
        </w:numPr>
        <w:rPr>
          <w:sz w:val="24"/>
          <w:szCs w:val="24"/>
        </w:rPr>
        <w:bidi w:val="0"/>
      </w:pPr>
      <w:r>
        <w:rPr>
          <w:sz w:val="24"/>
          <w:szCs w:val="24"/>
          <w:lang w:val="es"/>
          <w:b w:val="1"/>
          <w:bCs w:val="1"/>
          <w:i w:val="0"/>
          <w:iCs w:val="0"/>
          <w:u w:val="none"/>
          <w:vertAlign w:val="baseline"/>
          <w:rtl w:val="0"/>
        </w:rPr>
        <w:t xml:space="preserve">Paso 4</w:t>
      </w:r>
      <w:r>
        <w:rPr>
          <w:sz w:val="24"/>
          <w:szCs w:val="24"/>
          <w:lang w:val="es"/>
          <w:b w:val="0"/>
          <w:bCs w:val="0"/>
          <w:i w:val="0"/>
          <w:iCs w:val="0"/>
          <w:u w:val="none"/>
          <w:vertAlign w:val="baseline"/>
          <w:rtl w:val="0"/>
        </w:rPr>
        <w:t xml:space="preserve">: Calcule la media observada y la desviación estándar (Standard Deviation, SD) del nuevo número de lote.</w:t>
      </w:r>
    </w:p>
    <w:p w:rsidR="007D6817" w:rsidRPr="007D6817" w:rsidRDefault="007D6817" w:rsidP="00764612">
      <w:pPr>
        <w:pStyle w:val="ListParagraph"/>
        <w:numPr>
          <w:ilvl w:val="0"/>
          <w:numId w:val="1"/>
        </w:numPr>
        <w:rPr>
          <w:sz w:val="24"/>
          <w:szCs w:val="24"/>
        </w:rPr>
        <w:bidi w:val="0"/>
      </w:pPr>
      <w:r>
        <w:rPr>
          <w:rFonts w:eastAsia="MS PGothic"/>
          <w:color w:val="000000" w:themeColor="text1"/>
          <w:kern w:val="24"/>
          <w:sz w:val="24"/>
          <w:szCs w:val="24"/>
          <w:lang w:val="es"/>
          <w:b w:val="1"/>
          <w:bCs w:val="1"/>
          <w:i w:val="0"/>
          <w:iCs w:val="0"/>
          <w:u w:val="none"/>
          <w:vertAlign w:val="baseline"/>
          <w:rtl w:val="0"/>
        </w:rPr>
        <w:t xml:space="preserve">Paso 5</w:t>
      </w:r>
      <w:r>
        <w:rPr>
          <w:rFonts w:eastAsia="MS PGothic"/>
          <w:color w:val="000000" w:themeColor="text1"/>
          <w:kern w:val="24"/>
          <w:sz w:val="24"/>
          <w:szCs w:val="24"/>
          <w:lang w:val="es"/>
          <w:b w:val="0"/>
          <w:bCs w:val="0"/>
          <w:i w:val="0"/>
          <w:iCs w:val="0"/>
          <w:u w:val="none"/>
          <w:vertAlign w:val="baseline"/>
          <w:rtl w:val="0"/>
        </w:rPr>
        <w:t xml:space="preserve">: Calcule sus límites de control (± 1 SD, ± 2 SD, ± 3 SD y ± 4 SD).</w:t>
      </w:r>
    </w:p>
    <w:p w:rsidR="007D6817" w:rsidRPr="007D6817" w:rsidRDefault="007D6817" w:rsidP="00764612">
      <w:pPr>
        <w:pStyle w:val="ListParagraph"/>
        <w:numPr>
          <w:ilvl w:val="0"/>
          <w:numId w:val="1"/>
        </w:numPr>
        <w:rPr>
          <w:sz w:val="24"/>
          <w:szCs w:val="24"/>
        </w:rPr>
        <w:bidi w:val="0"/>
      </w:pPr>
      <w:r>
        <w:rPr>
          <w:rFonts w:eastAsia="MS PGothic"/>
          <w:color w:val="000000" w:themeColor="text1"/>
          <w:kern w:val="24"/>
          <w:sz w:val="24"/>
          <w:szCs w:val="24"/>
          <w:lang w:val="es"/>
          <w:b w:val="1"/>
          <w:bCs w:val="1"/>
          <w:i w:val="0"/>
          <w:iCs w:val="0"/>
          <w:u w:val="none"/>
          <w:vertAlign w:val="baseline"/>
          <w:rtl w:val="0"/>
        </w:rPr>
        <w:t xml:space="preserve">Paso 6</w:t>
      </w:r>
      <w:r>
        <w:rPr>
          <w:rFonts w:eastAsia="MS PGothic"/>
          <w:color w:val="000000" w:themeColor="text1"/>
          <w:kern w:val="24"/>
          <w:sz w:val="24"/>
          <w:szCs w:val="24"/>
          <w:lang w:val="es"/>
          <w:b w:val="0"/>
          <w:bCs w:val="0"/>
          <w:i w:val="0"/>
          <w:iCs w:val="0"/>
          <w:u w:val="none"/>
          <w:vertAlign w:val="baseline"/>
          <w:rtl w:val="0"/>
        </w:rPr>
        <w:t xml:space="preserve">: Genere el gráfico L-J. </w:t>
      </w:r>
    </w:p>
    <w:p w:rsidR="007D6817" w:rsidRPr="007D6817" w:rsidRDefault="007D6817" w:rsidP="00764612">
      <w:pPr>
        <w:pStyle w:val="ListParagraph"/>
        <w:numPr>
          <w:ilvl w:val="0"/>
          <w:numId w:val="1"/>
        </w:numPr>
        <w:rPr>
          <w:sz w:val="24"/>
          <w:szCs w:val="24"/>
        </w:rPr>
        <w:bidi w:val="0"/>
      </w:pPr>
      <w:r>
        <w:rPr>
          <w:rFonts w:eastAsia="MS PGothic"/>
          <w:color w:val="000000" w:themeColor="text1"/>
          <w:kern w:val="24"/>
          <w:sz w:val="24"/>
          <w:szCs w:val="24"/>
          <w:lang w:val="es"/>
          <w:b w:val="1"/>
          <w:bCs w:val="1"/>
          <w:i w:val="0"/>
          <w:iCs w:val="0"/>
          <w:u w:val="none"/>
          <w:vertAlign w:val="baseline"/>
          <w:rtl w:val="0"/>
        </w:rPr>
        <w:t xml:space="preserve">Paso 7</w:t>
      </w:r>
      <w:r>
        <w:rPr>
          <w:rFonts w:eastAsia="MS PGothic"/>
          <w:color w:val="000000" w:themeColor="text1"/>
          <w:kern w:val="24"/>
          <w:sz w:val="24"/>
          <w:szCs w:val="24"/>
          <w:lang w:val="es"/>
          <w:b w:val="0"/>
          <w:bCs w:val="0"/>
          <w:i w:val="0"/>
          <w:iCs w:val="0"/>
          <w:u w:val="none"/>
          <w:vertAlign w:val="baseline"/>
          <w:rtl w:val="0"/>
        </w:rPr>
        <w:t xml:space="preserve">: Cuando el número de lote actual caduque o se consuma:</w:t>
      </w:r>
    </w:p>
    <w:p w:rsidR="007D6817" w:rsidRPr="007D6817" w:rsidRDefault="007D6817" w:rsidP="00764612">
      <w:pPr>
        <w:pStyle w:val="ListParagraph"/>
        <w:numPr>
          <w:ilvl w:val="1"/>
          <w:numId w:val="1"/>
        </w:numPr>
        <w:rPr>
          <w:sz w:val="24"/>
          <w:szCs w:val="24"/>
        </w:rPr>
        <w:bidi w:val="0"/>
      </w:pPr>
      <w:r>
        <w:rPr>
          <w:rFonts w:eastAsia="MS PGothic"/>
          <w:color w:val="000000" w:themeColor="text1"/>
          <w:kern w:val="24"/>
          <w:sz w:val="24"/>
          <w:szCs w:val="24"/>
          <w:lang w:val="es"/>
          <w:b w:val="0"/>
          <w:bCs w:val="0"/>
          <w:i w:val="0"/>
          <w:iCs w:val="0"/>
          <w:u w:val="none"/>
          <w:vertAlign w:val="baseline"/>
          <w:rtl w:val="0"/>
        </w:rPr>
        <w:t xml:space="preserve">Reemplace los gráficos L-J con los nuevos gráficos actuales.</w:t>
      </w:r>
    </w:p>
    <w:p w:rsidR="007D6817" w:rsidRPr="007D6817" w:rsidRDefault="007D6817" w:rsidP="00764612">
      <w:pPr>
        <w:pStyle w:val="ListParagraph"/>
        <w:numPr>
          <w:ilvl w:val="1"/>
          <w:numId w:val="1"/>
        </w:numPr>
        <w:rPr>
          <w:sz w:val="24"/>
          <w:szCs w:val="24"/>
        </w:rPr>
        <w:bidi w:val="0"/>
      </w:pPr>
      <w:r>
        <w:rPr>
          <w:rFonts w:eastAsia="MS PGothic"/>
          <w:color w:val="000000" w:themeColor="text1"/>
          <w:kern w:val="24"/>
          <w:sz w:val="24"/>
          <w:szCs w:val="24"/>
          <w:lang w:val="es"/>
          <w:b w:val="0"/>
          <w:bCs w:val="0"/>
          <w:i w:val="0"/>
          <w:iCs w:val="0"/>
          <w:u w:val="none"/>
          <w:vertAlign w:val="baseline"/>
          <w:rtl w:val="0"/>
        </w:rPr>
        <w:t xml:space="preserve">Conserve los gráficos antiguos de acuerdo con su plan de conservación de documentos.</w:t>
      </w:r>
    </w:p>
    <w:sectPr w:rsidR="007D6817" w:rsidRPr="007D6817" w:rsidSect="001967ED">
      <w:pgSz w:w="16839" w:h="11907" w:orient="landscape" w:code="9"/>
      <w:pgMar w:top="720" w:right="198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9B587D"/>
    <w:multiLevelType w:val="hybridMultilevel"/>
    <w:tmpl w:val="083AE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6C9"/>
    <w:rsid w:val="00105031"/>
    <w:rsid w:val="0014110E"/>
    <w:rsid w:val="00165847"/>
    <w:rsid w:val="001967ED"/>
    <w:rsid w:val="003B46C9"/>
    <w:rsid w:val="00412598"/>
    <w:rsid w:val="00541E15"/>
    <w:rsid w:val="00596DF5"/>
    <w:rsid w:val="00621A35"/>
    <w:rsid w:val="006B6159"/>
    <w:rsid w:val="00764612"/>
    <w:rsid w:val="007A6C02"/>
    <w:rsid w:val="007D6817"/>
    <w:rsid w:val="00821AAB"/>
    <w:rsid w:val="009935FC"/>
    <w:rsid w:val="00A31355"/>
    <w:rsid w:val="00CB2876"/>
    <w:rsid w:val="00DE6740"/>
    <w:rsid w:val="00DF0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6B5BB"/>
  <w15:docId w15:val="{12505380-9D32-4D5B-BCD0-04F3F178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6C9"/>
    <w:pPr>
      <w:ind w:left="720"/>
      <w:contextualSpacing/>
    </w:pPr>
  </w:style>
  <w:style w:type="paragraph" w:styleId="BalloonText">
    <w:name w:val="Balloon Text"/>
    <w:basedOn w:val="Normal"/>
    <w:link w:val="BalloonTextChar"/>
    <w:uiPriority w:val="99"/>
    <w:semiHidden/>
    <w:unhideWhenUsed/>
    <w:rsid w:val="007D68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8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2.jpeg" /><Relationship Id="rId2" Type="http://schemas.openxmlformats.org/officeDocument/2006/relationships/styles" Target="styles.xml" /><Relationship Id="rId1" Type="http://schemas.openxmlformats.org/officeDocument/2006/relationships/numbering" Target="numbering.xml" /><Relationship Id="rId6" Type="http://schemas.microsoft.com/office/2007/relationships/hdphoto" Target="media/hdphoto1.wdp" /><Relationship Id="rId5"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 Murphy</cp:lastModifiedBy>
  <cp:revision>16</cp:revision>
  <cp:lastPrinted>2012-09-04T17:34:00Z</cp:lastPrinted>
  <dcterms:created xsi:type="dcterms:W3CDTF">2012-09-04T15:43:00Z</dcterms:created>
  <dcterms:modified xsi:type="dcterms:W3CDTF">2017-01-04T19:38:00Z</dcterms:modified>
</cp:coreProperties>
</file>