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75282" w14:textId="77777777" w:rsidR="008E3267" w:rsidRPr="00464F9C" w:rsidRDefault="0069054F" w:rsidP="00464F9C">
      <w:pPr>
        <w:pStyle w:val="ListParagraph"/>
        <w:ind w:left="0"/>
        <w:rPr>
          <w:rFonts w:ascii="Times New Roman" w:hAnsi="Times New Roman" w:cs="Times New Roman"/>
          <w:sz w:val="21"/>
          <w:szCs w:val="21"/>
        </w:rPr>
      </w:pPr>
      <w:r w:rsidRPr="00464F9C">
        <w:rPr>
          <w:rFonts w:ascii="Times New Roman" w:hAnsi="Times New Roman" w:cs="Times New Roman"/>
          <w:sz w:val="21"/>
          <w:szCs w:val="21"/>
          <w:lang w:val="es"/>
        </w:rPr>
        <w:t xml:space="preserve">Esperamos que los materiales de control de calidad proporcionen información sobre lo que está ocurriendo con el procedimiento de medición.  En otras palabras, esperamos que el rendimiento de los materiales de control de calidad refleje los mismos efectos que se producen con las muestras de nuestros pacientes.  Para ello, los materiales de control de calidad deben: </w:t>
      </w:r>
      <w:r w:rsidRPr="00464F9C">
        <w:rPr>
          <w:rFonts w:ascii="Times New Roman" w:hAnsi="Times New Roman" w:cs="Times New Roman"/>
          <w:sz w:val="21"/>
          <w:szCs w:val="21"/>
          <w:vertAlign w:val="superscript"/>
          <w:lang w:val="es"/>
        </w:rPr>
        <w:t>[i]</w:t>
      </w:r>
    </w:p>
    <w:p w14:paraId="02552178" w14:textId="77777777" w:rsidR="008E3267" w:rsidRPr="00464F9C" w:rsidRDefault="0069054F" w:rsidP="00464F9C">
      <w:pPr>
        <w:pStyle w:val="ListParagraph"/>
        <w:numPr>
          <w:ilvl w:val="0"/>
          <w:numId w:val="4"/>
        </w:numPr>
        <w:ind w:left="792"/>
        <w:rPr>
          <w:rFonts w:ascii="Times New Roman" w:hAnsi="Times New Roman" w:cs="Times New Roman"/>
          <w:sz w:val="21"/>
          <w:szCs w:val="21"/>
        </w:rPr>
      </w:pPr>
      <w:r w:rsidRPr="00464F9C">
        <w:rPr>
          <w:rFonts w:ascii="Times New Roman" w:hAnsi="Times New Roman" w:cs="Times New Roman"/>
          <w:sz w:val="21"/>
          <w:szCs w:val="21"/>
          <w:lang w:val="es"/>
        </w:rPr>
        <w:t>Imitar la matriz y la viscosidad de las muestras de pacientes que se están analizando.</w:t>
      </w:r>
    </w:p>
    <w:p w14:paraId="16F19CB6" w14:textId="77777777" w:rsidR="0069054F" w:rsidRPr="00464F9C" w:rsidRDefault="0069054F" w:rsidP="00464F9C">
      <w:pPr>
        <w:pStyle w:val="ListParagraph"/>
        <w:numPr>
          <w:ilvl w:val="1"/>
          <w:numId w:val="4"/>
        </w:numPr>
        <w:ind w:left="1512"/>
        <w:rPr>
          <w:rFonts w:ascii="Times New Roman" w:hAnsi="Times New Roman" w:cs="Times New Roman"/>
          <w:sz w:val="21"/>
          <w:szCs w:val="21"/>
        </w:rPr>
      </w:pPr>
      <w:r w:rsidRPr="00464F9C">
        <w:rPr>
          <w:rFonts w:ascii="Times New Roman" w:hAnsi="Times New Roman" w:cs="Times New Roman"/>
          <w:sz w:val="21"/>
          <w:szCs w:val="21"/>
          <w:lang w:val="es"/>
        </w:rPr>
        <w:t>Matriz: la base a partir de la cual se preparan los materiales de control además de los conservantes añadidos para la estabilidad.</w:t>
      </w:r>
    </w:p>
    <w:p w14:paraId="4E15BAB9" w14:textId="77777777" w:rsidR="0069054F" w:rsidRPr="00464F9C" w:rsidRDefault="0069054F" w:rsidP="00464F9C">
      <w:pPr>
        <w:pStyle w:val="ListParagraph"/>
        <w:numPr>
          <w:ilvl w:val="1"/>
          <w:numId w:val="4"/>
        </w:numPr>
        <w:ind w:left="1512"/>
        <w:rPr>
          <w:rFonts w:ascii="Times New Roman" w:hAnsi="Times New Roman" w:cs="Times New Roman"/>
          <w:sz w:val="21"/>
          <w:szCs w:val="21"/>
        </w:rPr>
      </w:pPr>
      <w:r w:rsidRPr="00464F9C">
        <w:rPr>
          <w:rFonts w:ascii="Times New Roman" w:hAnsi="Times New Roman" w:cs="Times New Roman"/>
          <w:sz w:val="21"/>
          <w:szCs w:val="21"/>
          <w:lang w:val="es"/>
        </w:rPr>
        <w:t>Efecto de la matriz: la influencia de la matriz del material de control, distinta de la concentración del analito, en el procedimiento de medición para producir resultados diferentes en comparación con otros métodos sin dejar de producir resultados coherentes en las muestras de pacientes.</w:t>
      </w:r>
    </w:p>
    <w:p w14:paraId="32A93C6D" w14:textId="77777777" w:rsidR="0069054F" w:rsidRPr="00464F9C" w:rsidRDefault="0069054F" w:rsidP="00464F9C">
      <w:pPr>
        <w:pStyle w:val="ListParagraph"/>
        <w:numPr>
          <w:ilvl w:val="0"/>
          <w:numId w:val="4"/>
        </w:numPr>
        <w:ind w:left="792"/>
        <w:rPr>
          <w:rFonts w:ascii="Times New Roman" w:hAnsi="Times New Roman" w:cs="Times New Roman"/>
          <w:sz w:val="21"/>
          <w:szCs w:val="21"/>
        </w:rPr>
      </w:pPr>
      <w:r w:rsidRPr="00464F9C">
        <w:rPr>
          <w:rFonts w:ascii="Times New Roman" w:hAnsi="Times New Roman" w:cs="Times New Roman"/>
          <w:sz w:val="21"/>
          <w:szCs w:val="21"/>
          <w:lang w:val="es"/>
        </w:rPr>
        <w:t>Ser sensibles tanto física como químicamente a los cambios en el procedimiento de medición como muestras de pacientes.</w:t>
      </w:r>
    </w:p>
    <w:p w14:paraId="217FE6AF" w14:textId="77777777" w:rsidR="0069054F" w:rsidRPr="00464F9C" w:rsidRDefault="0069054F" w:rsidP="00464F9C">
      <w:pPr>
        <w:pStyle w:val="ListParagraph"/>
        <w:numPr>
          <w:ilvl w:val="0"/>
          <w:numId w:val="4"/>
        </w:numPr>
        <w:ind w:left="792"/>
        <w:rPr>
          <w:rFonts w:ascii="Times New Roman" w:hAnsi="Times New Roman" w:cs="Times New Roman"/>
          <w:sz w:val="21"/>
          <w:szCs w:val="21"/>
        </w:rPr>
      </w:pPr>
      <w:r w:rsidRPr="00464F9C">
        <w:rPr>
          <w:rFonts w:ascii="Times New Roman" w:hAnsi="Times New Roman" w:cs="Times New Roman"/>
          <w:sz w:val="21"/>
          <w:szCs w:val="21"/>
          <w:lang w:val="es"/>
        </w:rPr>
        <w:t>Contener concentraciones de analitos en los puntos de decisión médica o cerca de ellos.</w:t>
      </w:r>
    </w:p>
    <w:p w14:paraId="42C18D2F" w14:textId="77777777" w:rsidR="0069054F" w:rsidRPr="00464F9C" w:rsidRDefault="0069054F" w:rsidP="00464F9C">
      <w:pPr>
        <w:pStyle w:val="ListParagraph"/>
        <w:numPr>
          <w:ilvl w:val="0"/>
          <w:numId w:val="4"/>
        </w:numPr>
        <w:ind w:left="792"/>
        <w:rPr>
          <w:rFonts w:ascii="Times New Roman" w:hAnsi="Times New Roman" w:cs="Times New Roman"/>
          <w:sz w:val="21"/>
          <w:szCs w:val="21"/>
        </w:rPr>
      </w:pPr>
      <w:r w:rsidRPr="00464F9C">
        <w:rPr>
          <w:rFonts w:ascii="Times New Roman" w:hAnsi="Times New Roman" w:cs="Times New Roman"/>
          <w:sz w:val="21"/>
          <w:szCs w:val="21"/>
          <w:lang w:val="es"/>
        </w:rPr>
        <w:t>Estar disponible en un número de lote que sea estable durante un período prolongado.</w:t>
      </w:r>
    </w:p>
    <w:p w14:paraId="1652141A" w14:textId="77777777" w:rsidR="0069054F" w:rsidRPr="00464F9C" w:rsidRDefault="0069054F" w:rsidP="00464F9C">
      <w:pPr>
        <w:pStyle w:val="ListParagraph"/>
        <w:numPr>
          <w:ilvl w:val="0"/>
          <w:numId w:val="4"/>
        </w:numPr>
        <w:ind w:left="792"/>
        <w:rPr>
          <w:rFonts w:ascii="Times New Roman" w:hAnsi="Times New Roman" w:cs="Times New Roman"/>
          <w:sz w:val="21"/>
          <w:szCs w:val="21"/>
        </w:rPr>
      </w:pPr>
      <w:r w:rsidRPr="00464F9C">
        <w:rPr>
          <w:rFonts w:ascii="Times New Roman" w:hAnsi="Times New Roman" w:cs="Times New Roman"/>
          <w:sz w:val="21"/>
          <w:szCs w:val="21"/>
          <w:lang w:val="es"/>
        </w:rPr>
        <w:t>Estar disponible en diferentes niveles de concentración para evaluar el rango de medición del método.</w:t>
      </w:r>
    </w:p>
    <w:p w14:paraId="65D9DC9F" w14:textId="77777777" w:rsidR="0069054F" w:rsidRPr="00464F9C" w:rsidRDefault="0069054F" w:rsidP="00464F9C">
      <w:pPr>
        <w:pStyle w:val="ListParagraph"/>
        <w:numPr>
          <w:ilvl w:val="0"/>
          <w:numId w:val="4"/>
        </w:numPr>
        <w:ind w:left="792"/>
        <w:rPr>
          <w:rFonts w:ascii="Times New Roman" w:hAnsi="Times New Roman" w:cs="Times New Roman"/>
          <w:sz w:val="21"/>
          <w:szCs w:val="21"/>
        </w:rPr>
      </w:pPr>
      <w:r w:rsidRPr="00464F9C">
        <w:rPr>
          <w:rFonts w:ascii="Times New Roman" w:hAnsi="Times New Roman" w:cs="Times New Roman"/>
          <w:sz w:val="21"/>
          <w:szCs w:val="21"/>
          <w:lang w:val="es"/>
        </w:rPr>
        <w:t>Permanecer estable antes y después de abrir un vial según lo indicado por el fabricante.</w:t>
      </w:r>
    </w:p>
    <w:p w14:paraId="71F19BEC" w14:textId="77777777" w:rsidR="0069054F" w:rsidRPr="00464F9C" w:rsidRDefault="0069054F" w:rsidP="00464F9C">
      <w:pPr>
        <w:pStyle w:val="ListParagraph"/>
        <w:numPr>
          <w:ilvl w:val="0"/>
          <w:numId w:val="4"/>
        </w:numPr>
        <w:ind w:left="792"/>
        <w:rPr>
          <w:rFonts w:ascii="Times New Roman" w:hAnsi="Times New Roman" w:cs="Times New Roman"/>
          <w:sz w:val="21"/>
          <w:szCs w:val="21"/>
        </w:rPr>
      </w:pPr>
      <w:r w:rsidRPr="00464F9C">
        <w:rPr>
          <w:rFonts w:ascii="Times New Roman" w:hAnsi="Times New Roman" w:cs="Times New Roman"/>
          <w:sz w:val="21"/>
          <w:szCs w:val="21"/>
          <w:lang w:val="es"/>
        </w:rPr>
        <w:t>Producir una variabilidad mínima entre los viales.</w:t>
      </w:r>
    </w:p>
    <w:p w14:paraId="5CF7969B" w14:textId="77777777" w:rsidR="00B47FF2" w:rsidRPr="00464F9C" w:rsidRDefault="00B47FF2" w:rsidP="00464F9C">
      <w:pPr>
        <w:pStyle w:val="ListParagraph"/>
        <w:spacing w:after="120"/>
        <w:ind w:left="1440"/>
        <w:jc w:val="right"/>
        <w:rPr>
          <w:rFonts w:ascii="Times New Roman" w:hAnsi="Times New Roman" w:cs="Times New Roman"/>
          <w:sz w:val="16"/>
          <w:szCs w:val="16"/>
        </w:rPr>
      </w:pPr>
      <w:r w:rsidRPr="00464F9C">
        <w:rPr>
          <w:rFonts w:ascii="Times New Roman" w:hAnsi="Times New Roman" w:cs="Times New Roman"/>
          <w:sz w:val="16"/>
          <w:szCs w:val="16"/>
          <w:vertAlign w:val="superscript"/>
          <w:lang w:val="es"/>
        </w:rPr>
        <w:t>[i]</w:t>
      </w:r>
      <w:r w:rsidRPr="00464F9C">
        <w:rPr>
          <w:rFonts w:ascii="Times New Roman" w:hAnsi="Times New Roman" w:cs="Times New Roman"/>
          <w:sz w:val="16"/>
          <w:szCs w:val="16"/>
          <w:lang w:val="es"/>
        </w:rPr>
        <w:t xml:space="preserve"> Brooks, Zoe (2003). Quality Control – from Data to Decisions. Basic Concepts (Section 2, Topic 2)</w:t>
      </w:r>
    </w:p>
    <w:p w14:paraId="2159AB7A" w14:textId="77777777" w:rsidR="0069054F" w:rsidRPr="00464F9C" w:rsidRDefault="0069054F" w:rsidP="00464F9C">
      <w:pPr>
        <w:spacing w:after="0" w:line="240" w:lineRule="auto"/>
        <w:rPr>
          <w:rFonts w:ascii="Times New Roman" w:hAnsi="Times New Roman" w:cs="Times New Roman"/>
          <w:sz w:val="21"/>
          <w:szCs w:val="21"/>
        </w:rPr>
      </w:pPr>
      <w:r w:rsidRPr="00464F9C">
        <w:rPr>
          <w:rFonts w:ascii="Times New Roman" w:hAnsi="Times New Roman" w:cs="Times New Roman"/>
          <w:sz w:val="21"/>
          <w:szCs w:val="21"/>
          <w:lang w:val="es"/>
        </w:rPr>
        <w:t>Además de las cualidades mencionadas anteriormente, se deben tener en cuenta otras consideraciones para su centro específico, tales como:</w:t>
      </w:r>
    </w:p>
    <w:p w14:paraId="081421C5" w14:textId="77777777" w:rsidR="007B5766" w:rsidRPr="00464F9C" w:rsidRDefault="007B5766" w:rsidP="00464F9C">
      <w:pPr>
        <w:pStyle w:val="ListParagraph"/>
        <w:numPr>
          <w:ilvl w:val="0"/>
          <w:numId w:val="5"/>
        </w:numPr>
        <w:ind w:left="792"/>
        <w:rPr>
          <w:rFonts w:ascii="Times New Roman" w:hAnsi="Times New Roman" w:cs="Times New Roman"/>
          <w:sz w:val="21"/>
          <w:szCs w:val="21"/>
        </w:rPr>
      </w:pPr>
      <w:r w:rsidRPr="00464F9C">
        <w:rPr>
          <w:rFonts w:ascii="Times New Roman" w:hAnsi="Times New Roman" w:cs="Times New Roman"/>
          <w:sz w:val="21"/>
          <w:szCs w:val="21"/>
          <w:lang w:val="es"/>
        </w:rPr>
        <w:t>Uso de controles liofilizados</w:t>
      </w:r>
    </w:p>
    <w:p w14:paraId="076029C2" w14:textId="77777777" w:rsidR="007B5766" w:rsidRPr="00464F9C" w:rsidRDefault="007B5766" w:rsidP="00464F9C">
      <w:pPr>
        <w:pStyle w:val="ListParagraph"/>
        <w:numPr>
          <w:ilvl w:val="1"/>
          <w:numId w:val="4"/>
        </w:numPr>
        <w:ind w:left="1512"/>
        <w:rPr>
          <w:rFonts w:ascii="Times New Roman" w:hAnsi="Times New Roman" w:cs="Times New Roman"/>
          <w:sz w:val="21"/>
          <w:szCs w:val="21"/>
        </w:rPr>
      </w:pPr>
      <w:r w:rsidRPr="00464F9C">
        <w:rPr>
          <w:rFonts w:ascii="Times New Roman" w:hAnsi="Times New Roman" w:cs="Times New Roman"/>
          <w:sz w:val="21"/>
          <w:szCs w:val="21"/>
          <w:lang w:val="es"/>
        </w:rPr>
        <w:t>Generalmente, es menos costoso por caja que el líquido.</w:t>
      </w:r>
    </w:p>
    <w:p w14:paraId="0F2EAAE1" w14:textId="77777777" w:rsidR="007B5766" w:rsidRPr="00464F9C" w:rsidRDefault="007B5766" w:rsidP="00464F9C">
      <w:pPr>
        <w:pStyle w:val="ListParagraph"/>
        <w:numPr>
          <w:ilvl w:val="1"/>
          <w:numId w:val="4"/>
        </w:numPr>
        <w:ind w:left="1512"/>
        <w:rPr>
          <w:rFonts w:ascii="Times New Roman" w:hAnsi="Times New Roman" w:cs="Times New Roman"/>
          <w:sz w:val="21"/>
          <w:szCs w:val="21"/>
        </w:rPr>
      </w:pPr>
      <w:r w:rsidRPr="00464F9C">
        <w:rPr>
          <w:rFonts w:ascii="Times New Roman" w:hAnsi="Times New Roman" w:cs="Times New Roman"/>
          <w:sz w:val="21"/>
          <w:szCs w:val="21"/>
          <w:lang w:val="es"/>
        </w:rPr>
        <w:t>Requiere un diluyente especial o agua desionizada tipo I.</w:t>
      </w:r>
    </w:p>
    <w:p w14:paraId="0C5E4472" w14:textId="77777777" w:rsidR="007B5766" w:rsidRPr="00464F9C" w:rsidRDefault="007B5766" w:rsidP="00464F9C">
      <w:pPr>
        <w:pStyle w:val="ListParagraph"/>
        <w:numPr>
          <w:ilvl w:val="1"/>
          <w:numId w:val="4"/>
        </w:numPr>
        <w:ind w:left="1512"/>
        <w:rPr>
          <w:rFonts w:ascii="Times New Roman" w:hAnsi="Times New Roman" w:cs="Times New Roman"/>
          <w:sz w:val="21"/>
          <w:szCs w:val="21"/>
        </w:rPr>
      </w:pPr>
      <w:r w:rsidRPr="00464F9C">
        <w:rPr>
          <w:rFonts w:ascii="Times New Roman" w:hAnsi="Times New Roman" w:cs="Times New Roman"/>
          <w:sz w:val="21"/>
          <w:szCs w:val="21"/>
          <w:lang w:val="es"/>
        </w:rPr>
        <w:t>Se requiere disponibilidad de pipetas volumétricas de clase A limpias y bulbos de pipeteo.</w:t>
      </w:r>
    </w:p>
    <w:p w14:paraId="17748090" w14:textId="77777777" w:rsidR="007B5766" w:rsidRPr="00464F9C" w:rsidRDefault="007B5766" w:rsidP="00464F9C">
      <w:pPr>
        <w:pStyle w:val="ListParagraph"/>
        <w:numPr>
          <w:ilvl w:val="1"/>
          <w:numId w:val="4"/>
        </w:numPr>
        <w:ind w:left="1512"/>
        <w:rPr>
          <w:rFonts w:ascii="Times New Roman" w:hAnsi="Times New Roman" w:cs="Times New Roman"/>
          <w:sz w:val="21"/>
          <w:szCs w:val="21"/>
        </w:rPr>
      </w:pPr>
      <w:r w:rsidRPr="00464F9C">
        <w:rPr>
          <w:rFonts w:ascii="Times New Roman" w:hAnsi="Times New Roman" w:cs="Times New Roman"/>
          <w:sz w:val="21"/>
          <w:szCs w:val="21"/>
          <w:lang w:val="es"/>
        </w:rPr>
        <w:t>Se requiere personal capaz de</w:t>
      </w:r>
    </w:p>
    <w:p w14:paraId="6B74E229" w14:textId="77777777" w:rsidR="007B5766" w:rsidRPr="00464F9C" w:rsidRDefault="007B5766" w:rsidP="00464F9C">
      <w:pPr>
        <w:pStyle w:val="ListParagraph"/>
        <w:numPr>
          <w:ilvl w:val="2"/>
          <w:numId w:val="5"/>
        </w:numPr>
        <w:ind w:left="2196"/>
        <w:rPr>
          <w:rFonts w:ascii="Times New Roman" w:hAnsi="Times New Roman" w:cs="Times New Roman"/>
          <w:sz w:val="21"/>
          <w:szCs w:val="21"/>
        </w:rPr>
      </w:pPr>
      <w:r w:rsidRPr="00464F9C">
        <w:rPr>
          <w:rFonts w:ascii="Times New Roman" w:hAnsi="Times New Roman" w:cs="Times New Roman"/>
          <w:sz w:val="21"/>
          <w:szCs w:val="21"/>
          <w:lang w:val="es"/>
        </w:rPr>
        <w:t>realizar pipeteo manual con precisión.</w:t>
      </w:r>
    </w:p>
    <w:p w14:paraId="7E153487" w14:textId="77777777" w:rsidR="007B5766" w:rsidRPr="00464F9C" w:rsidRDefault="007B5766" w:rsidP="00464F9C">
      <w:pPr>
        <w:pStyle w:val="ListParagraph"/>
        <w:numPr>
          <w:ilvl w:val="2"/>
          <w:numId w:val="5"/>
        </w:numPr>
        <w:ind w:left="2196"/>
        <w:rPr>
          <w:rFonts w:ascii="Times New Roman" w:hAnsi="Times New Roman" w:cs="Times New Roman"/>
          <w:sz w:val="21"/>
          <w:szCs w:val="21"/>
        </w:rPr>
      </w:pPr>
      <w:r w:rsidRPr="00464F9C">
        <w:rPr>
          <w:rFonts w:ascii="Times New Roman" w:hAnsi="Times New Roman" w:cs="Times New Roman"/>
          <w:sz w:val="21"/>
          <w:szCs w:val="21"/>
          <w:lang w:val="es"/>
        </w:rPr>
        <w:t>Se deben seguir estrictamente las instrucciones de reconstitución y mezcla proporcionadas por el fabricante.</w:t>
      </w:r>
    </w:p>
    <w:p w14:paraId="0E8D2624" w14:textId="77777777" w:rsidR="007B5766" w:rsidRPr="00464F9C" w:rsidRDefault="007B5766" w:rsidP="00464F9C">
      <w:pPr>
        <w:pStyle w:val="ListParagraph"/>
        <w:numPr>
          <w:ilvl w:val="1"/>
          <w:numId w:val="4"/>
        </w:numPr>
        <w:ind w:left="1512"/>
        <w:rPr>
          <w:rFonts w:ascii="Times New Roman" w:hAnsi="Times New Roman" w:cs="Times New Roman"/>
          <w:sz w:val="21"/>
          <w:szCs w:val="21"/>
        </w:rPr>
      </w:pPr>
      <w:r w:rsidRPr="00464F9C">
        <w:rPr>
          <w:rFonts w:ascii="Times New Roman" w:hAnsi="Times New Roman" w:cs="Times New Roman"/>
          <w:sz w:val="21"/>
          <w:szCs w:val="21"/>
          <w:lang w:val="es"/>
        </w:rPr>
        <w:t>Puede experimentar una mayor variabilidad entre viales (aumento de la imprecisión), especialmente si se produce una manipulación y reconstitución inadecuadas.</w:t>
      </w:r>
    </w:p>
    <w:p w14:paraId="57FCF9BC" w14:textId="77777777" w:rsidR="007B5766" w:rsidRPr="00464F9C" w:rsidRDefault="007B5766" w:rsidP="00464F9C">
      <w:pPr>
        <w:pStyle w:val="ListParagraph"/>
        <w:numPr>
          <w:ilvl w:val="1"/>
          <w:numId w:val="4"/>
        </w:numPr>
        <w:ind w:left="1512"/>
        <w:rPr>
          <w:rFonts w:ascii="Times New Roman" w:hAnsi="Times New Roman" w:cs="Times New Roman"/>
          <w:sz w:val="21"/>
          <w:szCs w:val="21"/>
        </w:rPr>
      </w:pPr>
      <w:r w:rsidRPr="00464F9C">
        <w:rPr>
          <w:rFonts w:ascii="Times New Roman" w:hAnsi="Times New Roman" w:cs="Times New Roman"/>
          <w:sz w:val="21"/>
          <w:szCs w:val="21"/>
          <w:lang w:val="es"/>
        </w:rPr>
        <w:t>Con frecuencia, el vial tiene un intervalo de caducidad más corto después de abierto.</w:t>
      </w:r>
    </w:p>
    <w:p w14:paraId="1F058627" w14:textId="77777777" w:rsidR="007B5766" w:rsidRPr="00464F9C" w:rsidRDefault="007B5766" w:rsidP="00464F9C">
      <w:pPr>
        <w:pStyle w:val="ListParagraph"/>
        <w:numPr>
          <w:ilvl w:val="2"/>
          <w:numId w:val="5"/>
        </w:numPr>
        <w:ind w:left="2196"/>
        <w:rPr>
          <w:rFonts w:ascii="Times New Roman" w:hAnsi="Times New Roman" w:cs="Times New Roman"/>
          <w:sz w:val="21"/>
          <w:szCs w:val="21"/>
        </w:rPr>
      </w:pPr>
      <w:r w:rsidRPr="00464F9C">
        <w:rPr>
          <w:rFonts w:ascii="Times New Roman" w:hAnsi="Times New Roman" w:cs="Times New Roman"/>
          <w:sz w:val="21"/>
          <w:szCs w:val="21"/>
          <w:lang w:val="es"/>
        </w:rPr>
        <w:t>Puede dar lugar a que se deseche la porción no utilizada (consideración de costo oculto).</w:t>
      </w:r>
    </w:p>
    <w:p w14:paraId="31F84C61" w14:textId="77777777" w:rsidR="007B5766" w:rsidRPr="00464F9C" w:rsidRDefault="007B5766" w:rsidP="00464F9C">
      <w:pPr>
        <w:pStyle w:val="ListParagraph"/>
        <w:numPr>
          <w:ilvl w:val="0"/>
          <w:numId w:val="5"/>
        </w:numPr>
        <w:ind w:left="792"/>
        <w:rPr>
          <w:rFonts w:ascii="Times New Roman" w:hAnsi="Times New Roman" w:cs="Times New Roman"/>
          <w:sz w:val="21"/>
          <w:szCs w:val="21"/>
        </w:rPr>
      </w:pPr>
      <w:r w:rsidRPr="00464F9C">
        <w:rPr>
          <w:rFonts w:ascii="Times New Roman" w:hAnsi="Times New Roman" w:cs="Times New Roman"/>
          <w:sz w:val="21"/>
          <w:szCs w:val="21"/>
          <w:lang w:val="es"/>
        </w:rPr>
        <w:t>Uso de controles de líquidos</w:t>
      </w:r>
    </w:p>
    <w:p w14:paraId="1D96E049" w14:textId="77777777" w:rsidR="007B5766" w:rsidRPr="00464F9C" w:rsidRDefault="007B5766" w:rsidP="00464F9C">
      <w:pPr>
        <w:pStyle w:val="ListParagraph"/>
        <w:numPr>
          <w:ilvl w:val="1"/>
          <w:numId w:val="5"/>
        </w:numPr>
        <w:ind w:left="1512"/>
        <w:rPr>
          <w:rFonts w:ascii="Times New Roman" w:hAnsi="Times New Roman" w:cs="Times New Roman"/>
          <w:sz w:val="21"/>
          <w:szCs w:val="21"/>
        </w:rPr>
      </w:pPr>
      <w:r w:rsidRPr="00464F9C">
        <w:rPr>
          <w:rFonts w:ascii="Times New Roman" w:hAnsi="Times New Roman" w:cs="Times New Roman"/>
          <w:sz w:val="21"/>
          <w:szCs w:val="21"/>
          <w:lang w:val="es"/>
        </w:rPr>
        <w:t>Generalmente, es más costoso por caja que el liofilizado.</w:t>
      </w:r>
    </w:p>
    <w:p w14:paraId="40270917" w14:textId="77777777" w:rsidR="007B5766" w:rsidRPr="00464F9C" w:rsidRDefault="007B5766" w:rsidP="00464F9C">
      <w:pPr>
        <w:pStyle w:val="ListParagraph"/>
        <w:numPr>
          <w:ilvl w:val="1"/>
          <w:numId w:val="5"/>
        </w:numPr>
        <w:ind w:left="1512"/>
        <w:rPr>
          <w:rFonts w:ascii="Times New Roman" w:hAnsi="Times New Roman" w:cs="Times New Roman"/>
          <w:sz w:val="21"/>
          <w:szCs w:val="21"/>
        </w:rPr>
      </w:pPr>
      <w:r w:rsidRPr="00464F9C">
        <w:rPr>
          <w:rFonts w:ascii="Times New Roman" w:hAnsi="Times New Roman" w:cs="Times New Roman"/>
          <w:sz w:val="21"/>
          <w:szCs w:val="21"/>
          <w:lang w:val="es"/>
        </w:rPr>
        <w:t>Elimina muchos de los errores de manipulación y reconstitución.</w:t>
      </w:r>
    </w:p>
    <w:p w14:paraId="34949684" w14:textId="77777777" w:rsidR="007B5766" w:rsidRPr="00464F9C" w:rsidRDefault="007B5766" w:rsidP="00464F9C">
      <w:pPr>
        <w:pStyle w:val="ListParagraph"/>
        <w:numPr>
          <w:ilvl w:val="1"/>
          <w:numId w:val="5"/>
        </w:numPr>
        <w:ind w:left="1512"/>
        <w:rPr>
          <w:rFonts w:ascii="Times New Roman" w:hAnsi="Times New Roman" w:cs="Times New Roman"/>
          <w:sz w:val="21"/>
          <w:szCs w:val="21"/>
        </w:rPr>
      </w:pPr>
      <w:r w:rsidRPr="00464F9C">
        <w:rPr>
          <w:rFonts w:ascii="Times New Roman" w:hAnsi="Times New Roman" w:cs="Times New Roman"/>
          <w:sz w:val="21"/>
          <w:szCs w:val="21"/>
          <w:lang w:val="es"/>
        </w:rPr>
        <w:t>La influencia del efecto de la matriz puede ser mayor con el método que utilice.</w:t>
      </w:r>
    </w:p>
    <w:p w14:paraId="435F13A7" w14:textId="77777777" w:rsidR="007B5766" w:rsidRPr="00464F9C" w:rsidRDefault="007B5766" w:rsidP="00464F9C">
      <w:pPr>
        <w:pStyle w:val="ListParagraph"/>
        <w:numPr>
          <w:ilvl w:val="1"/>
          <w:numId w:val="5"/>
        </w:numPr>
        <w:ind w:left="1512"/>
        <w:rPr>
          <w:rFonts w:ascii="Times New Roman" w:hAnsi="Times New Roman" w:cs="Times New Roman"/>
          <w:sz w:val="21"/>
          <w:szCs w:val="21"/>
        </w:rPr>
      </w:pPr>
      <w:r w:rsidRPr="00464F9C">
        <w:rPr>
          <w:rFonts w:ascii="Times New Roman" w:hAnsi="Times New Roman" w:cs="Times New Roman"/>
          <w:sz w:val="21"/>
          <w:szCs w:val="21"/>
          <w:lang w:val="es"/>
        </w:rPr>
        <w:t>Con frecuencia, el vial tiene un intervalo de caducidad más largo después de abierto.</w:t>
      </w:r>
    </w:p>
    <w:p w14:paraId="3181D55F" w14:textId="77777777" w:rsidR="007B5766" w:rsidRPr="00464F9C" w:rsidRDefault="007B5766" w:rsidP="00464F9C">
      <w:pPr>
        <w:pStyle w:val="ListParagraph"/>
        <w:numPr>
          <w:ilvl w:val="2"/>
          <w:numId w:val="5"/>
        </w:numPr>
        <w:ind w:left="2196"/>
        <w:rPr>
          <w:rFonts w:ascii="Times New Roman" w:hAnsi="Times New Roman" w:cs="Times New Roman"/>
          <w:sz w:val="21"/>
          <w:szCs w:val="21"/>
        </w:rPr>
      </w:pPr>
      <w:r w:rsidRPr="00464F9C">
        <w:rPr>
          <w:rFonts w:ascii="Times New Roman" w:hAnsi="Times New Roman" w:cs="Times New Roman"/>
          <w:sz w:val="21"/>
          <w:szCs w:val="21"/>
          <w:lang w:val="es"/>
        </w:rPr>
        <w:t>Es posible desechar menos o nada del producto si se consume dentro de la fecha de caducidad una vez abierto.</w:t>
      </w:r>
    </w:p>
    <w:p w14:paraId="5CE35FF9" w14:textId="77777777" w:rsidR="007B5766" w:rsidRPr="00464F9C" w:rsidRDefault="007B5766" w:rsidP="00464F9C">
      <w:pPr>
        <w:pStyle w:val="ListParagraph"/>
        <w:numPr>
          <w:ilvl w:val="0"/>
          <w:numId w:val="5"/>
        </w:numPr>
        <w:ind w:left="792"/>
        <w:rPr>
          <w:rFonts w:ascii="Times New Roman" w:hAnsi="Times New Roman" w:cs="Times New Roman"/>
          <w:sz w:val="21"/>
          <w:szCs w:val="21"/>
        </w:rPr>
      </w:pPr>
      <w:r w:rsidRPr="00464F9C">
        <w:rPr>
          <w:rFonts w:ascii="Times New Roman" w:hAnsi="Times New Roman" w:cs="Times New Roman"/>
          <w:sz w:val="21"/>
          <w:szCs w:val="21"/>
          <w:lang w:val="es"/>
        </w:rPr>
        <w:t>Frecuencia de cambio del número de lote</w:t>
      </w:r>
    </w:p>
    <w:p w14:paraId="19E5B1B8" w14:textId="77777777" w:rsidR="007B5766" w:rsidRPr="00464F9C" w:rsidRDefault="007B5766" w:rsidP="00464F9C">
      <w:pPr>
        <w:pStyle w:val="ListParagraph"/>
        <w:numPr>
          <w:ilvl w:val="1"/>
          <w:numId w:val="5"/>
        </w:numPr>
        <w:ind w:left="1512"/>
        <w:rPr>
          <w:rFonts w:ascii="Times New Roman" w:hAnsi="Times New Roman" w:cs="Times New Roman"/>
          <w:sz w:val="21"/>
          <w:szCs w:val="21"/>
        </w:rPr>
      </w:pPr>
      <w:r w:rsidRPr="00464F9C">
        <w:rPr>
          <w:rFonts w:ascii="Times New Roman" w:hAnsi="Times New Roman" w:cs="Times New Roman"/>
          <w:sz w:val="21"/>
          <w:szCs w:val="21"/>
          <w:lang w:val="es"/>
        </w:rPr>
        <w:t>Realizar pruebas en paralelo requiere tiempo y dinero (costos de realizar pruebas en materiales de control de calidad).</w:t>
      </w:r>
    </w:p>
    <w:p w14:paraId="1BDFA6A7" w14:textId="77777777" w:rsidR="00BE6392" w:rsidRPr="00464F9C" w:rsidRDefault="00BE6392" w:rsidP="00464F9C">
      <w:pPr>
        <w:pStyle w:val="ListParagraph"/>
        <w:numPr>
          <w:ilvl w:val="1"/>
          <w:numId w:val="5"/>
        </w:numPr>
        <w:ind w:left="1512"/>
        <w:rPr>
          <w:rFonts w:ascii="Times New Roman" w:hAnsi="Times New Roman" w:cs="Times New Roman"/>
          <w:sz w:val="21"/>
          <w:szCs w:val="21"/>
        </w:rPr>
      </w:pPr>
      <w:r w:rsidRPr="00464F9C">
        <w:rPr>
          <w:rFonts w:ascii="Times New Roman" w:hAnsi="Times New Roman" w:cs="Times New Roman"/>
          <w:sz w:val="21"/>
          <w:szCs w:val="21"/>
          <w:lang w:val="es"/>
        </w:rPr>
        <w:t>Con cada cambio de número de lote de material de control de calidad, se pierde el acceso a los datos resumidos o acumulados.</w:t>
      </w:r>
    </w:p>
    <w:p w14:paraId="6E092118" w14:textId="77777777" w:rsidR="007B5766" w:rsidRPr="00464F9C" w:rsidRDefault="007B5766" w:rsidP="00464F9C">
      <w:pPr>
        <w:pStyle w:val="ListParagraph"/>
        <w:numPr>
          <w:ilvl w:val="1"/>
          <w:numId w:val="5"/>
        </w:numPr>
        <w:ind w:left="1512"/>
        <w:rPr>
          <w:rFonts w:ascii="Times New Roman" w:hAnsi="Times New Roman" w:cs="Times New Roman"/>
          <w:sz w:val="21"/>
          <w:szCs w:val="21"/>
        </w:rPr>
      </w:pPr>
      <w:r w:rsidRPr="00464F9C">
        <w:rPr>
          <w:rFonts w:ascii="Times New Roman" w:hAnsi="Times New Roman" w:cs="Times New Roman"/>
          <w:sz w:val="21"/>
          <w:szCs w:val="21"/>
          <w:lang w:val="es"/>
        </w:rPr>
        <w:t>Se recomienda comprar un suministro anual del mismo número de lote, cuando sea posible.</w:t>
      </w:r>
    </w:p>
    <w:p w14:paraId="6F477A0C" w14:textId="77777777" w:rsidR="00BE6392" w:rsidRPr="00464F9C" w:rsidRDefault="00BE6392" w:rsidP="00464F9C">
      <w:pPr>
        <w:pStyle w:val="ListParagraph"/>
        <w:numPr>
          <w:ilvl w:val="2"/>
          <w:numId w:val="5"/>
        </w:numPr>
        <w:ind w:left="2196"/>
        <w:rPr>
          <w:rFonts w:ascii="Times New Roman" w:hAnsi="Times New Roman" w:cs="Times New Roman"/>
          <w:sz w:val="21"/>
          <w:szCs w:val="21"/>
        </w:rPr>
      </w:pPr>
      <w:r w:rsidRPr="00464F9C">
        <w:rPr>
          <w:rFonts w:ascii="Times New Roman" w:hAnsi="Times New Roman" w:cs="Times New Roman"/>
          <w:sz w:val="21"/>
          <w:szCs w:val="21"/>
          <w:lang w:val="es"/>
        </w:rPr>
        <w:t>La fecha de vencimiento deseada debe especificarse al momento de la compra.</w:t>
      </w:r>
    </w:p>
    <w:p w14:paraId="24220098" w14:textId="77777777" w:rsidR="00BE6392" w:rsidRPr="00464F9C" w:rsidRDefault="00BE6392" w:rsidP="00464F9C">
      <w:pPr>
        <w:pStyle w:val="ListParagraph"/>
        <w:numPr>
          <w:ilvl w:val="2"/>
          <w:numId w:val="5"/>
        </w:numPr>
        <w:ind w:left="2196"/>
        <w:rPr>
          <w:rFonts w:ascii="Times New Roman" w:hAnsi="Times New Roman" w:cs="Times New Roman"/>
          <w:sz w:val="21"/>
          <w:szCs w:val="21"/>
        </w:rPr>
      </w:pPr>
      <w:r w:rsidRPr="00464F9C">
        <w:rPr>
          <w:rFonts w:ascii="Times New Roman" w:hAnsi="Times New Roman" w:cs="Times New Roman"/>
          <w:sz w:val="21"/>
          <w:szCs w:val="21"/>
          <w:lang w:val="es"/>
        </w:rPr>
        <w:t>Problemas de almacenamiento.</w:t>
      </w:r>
    </w:p>
    <w:p w14:paraId="477D7FCA" w14:textId="77777777" w:rsidR="00BE6392" w:rsidRPr="00464F9C" w:rsidRDefault="00BE6392" w:rsidP="00464F9C">
      <w:pPr>
        <w:pStyle w:val="ListParagraph"/>
        <w:numPr>
          <w:ilvl w:val="2"/>
          <w:numId w:val="5"/>
        </w:numPr>
        <w:ind w:left="2196"/>
        <w:rPr>
          <w:rFonts w:ascii="Times New Roman" w:hAnsi="Times New Roman" w:cs="Times New Roman"/>
          <w:sz w:val="21"/>
          <w:szCs w:val="21"/>
        </w:rPr>
      </w:pPr>
      <w:r w:rsidRPr="00464F9C">
        <w:rPr>
          <w:rFonts w:ascii="Times New Roman" w:hAnsi="Times New Roman" w:cs="Times New Roman"/>
          <w:sz w:val="21"/>
          <w:szCs w:val="21"/>
          <w:lang w:val="es"/>
        </w:rPr>
        <w:t>Dificultades para establecer una orden permanente con el proveedor.</w:t>
      </w:r>
    </w:p>
    <w:p w14:paraId="349C478B" w14:textId="77777777" w:rsidR="00BE6392" w:rsidRPr="00464F9C" w:rsidRDefault="00BE6392" w:rsidP="00464F9C">
      <w:pPr>
        <w:pStyle w:val="ListParagraph"/>
        <w:numPr>
          <w:ilvl w:val="0"/>
          <w:numId w:val="5"/>
        </w:numPr>
        <w:ind w:left="792"/>
        <w:rPr>
          <w:rFonts w:ascii="Times New Roman" w:hAnsi="Times New Roman" w:cs="Times New Roman"/>
          <w:sz w:val="21"/>
          <w:szCs w:val="21"/>
        </w:rPr>
      </w:pPr>
      <w:r w:rsidRPr="00464F9C">
        <w:rPr>
          <w:rFonts w:ascii="Times New Roman" w:hAnsi="Times New Roman" w:cs="Times New Roman"/>
          <w:sz w:val="21"/>
          <w:szCs w:val="21"/>
          <w:lang w:val="es"/>
        </w:rPr>
        <w:t>Consideraciones del proveedor</w:t>
      </w:r>
    </w:p>
    <w:p w14:paraId="6A716D32" w14:textId="77777777" w:rsidR="00BE6392" w:rsidRPr="00464F9C" w:rsidRDefault="00BE6392" w:rsidP="00464F9C">
      <w:pPr>
        <w:pStyle w:val="ListParagraph"/>
        <w:numPr>
          <w:ilvl w:val="1"/>
          <w:numId w:val="5"/>
        </w:numPr>
        <w:ind w:left="1512"/>
        <w:rPr>
          <w:rFonts w:ascii="Times New Roman" w:hAnsi="Times New Roman" w:cs="Times New Roman"/>
          <w:sz w:val="21"/>
          <w:szCs w:val="21"/>
        </w:rPr>
      </w:pPr>
      <w:r w:rsidRPr="00464F9C">
        <w:rPr>
          <w:rFonts w:ascii="Times New Roman" w:hAnsi="Times New Roman" w:cs="Times New Roman"/>
          <w:sz w:val="21"/>
          <w:szCs w:val="21"/>
          <w:lang w:val="es"/>
        </w:rPr>
        <w:t>Disponibilidad de un programa de comparación entre laboratorios.</w:t>
      </w:r>
    </w:p>
    <w:p w14:paraId="1C76FEDE" w14:textId="77777777" w:rsidR="00BE6392" w:rsidRPr="00464F9C" w:rsidRDefault="00BE6392" w:rsidP="00464F9C">
      <w:pPr>
        <w:pStyle w:val="ListParagraph"/>
        <w:numPr>
          <w:ilvl w:val="1"/>
          <w:numId w:val="5"/>
        </w:numPr>
        <w:ind w:left="1512"/>
        <w:rPr>
          <w:rFonts w:ascii="Times New Roman" w:hAnsi="Times New Roman" w:cs="Times New Roman"/>
          <w:sz w:val="21"/>
          <w:szCs w:val="21"/>
        </w:rPr>
      </w:pPr>
      <w:r w:rsidRPr="00464F9C">
        <w:rPr>
          <w:rFonts w:ascii="Times New Roman" w:hAnsi="Times New Roman" w:cs="Times New Roman"/>
          <w:sz w:val="21"/>
          <w:szCs w:val="21"/>
          <w:lang w:val="es"/>
        </w:rPr>
        <w:t>Se proporciona soporte para la resolución de problemas.</w:t>
      </w:r>
    </w:p>
    <w:p w14:paraId="1C1C4D1D" w14:textId="77777777" w:rsidR="00BE6392" w:rsidRPr="00464F9C" w:rsidRDefault="00BE6392" w:rsidP="00464F9C">
      <w:pPr>
        <w:pStyle w:val="ListParagraph"/>
        <w:numPr>
          <w:ilvl w:val="1"/>
          <w:numId w:val="5"/>
        </w:numPr>
        <w:ind w:left="1512"/>
        <w:rPr>
          <w:rFonts w:ascii="Times New Roman" w:hAnsi="Times New Roman" w:cs="Times New Roman"/>
          <w:sz w:val="21"/>
          <w:szCs w:val="21"/>
        </w:rPr>
      </w:pPr>
      <w:r w:rsidRPr="00464F9C">
        <w:rPr>
          <w:rFonts w:ascii="Times New Roman" w:hAnsi="Times New Roman" w:cs="Times New Roman"/>
          <w:sz w:val="21"/>
          <w:szCs w:val="21"/>
          <w:lang w:val="es"/>
        </w:rPr>
        <w:t xml:space="preserve">Capacidad para aceptar órdenes permanentes. </w:t>
      </w:r>
    </w:p>
    <w:p w14:paraId="04C70970" w14:textId="77777777" w:rsidR="0069054F" w:rsidRPr="00464F9C" w:rsidRDefault="00BE6392" w:rsidP="00464F9C">
      <w:pPr>
        <w:pStyle w:val="ListParagraph"/>
        <w:numPr>
          <w:ilvl w:val="1"/>
          <w:numId w:val="5"/>
        </w:numPr>
        <w:ind w:left="1512"/>
        <w:rPr>
          <w:rFonts w:ascii="Times New Roman" w:hAnsi="Times New Roman" w:cs="Times New Roman"/>
          <w:sz w:val="21"/>
          <w:szCs w:val="21"/>
        </w:rPr>
      </w:pPr>
      <w:r w:rsidRPr="00464F9C">
        <w:rPr>
          <w:rFonts w:ascii="Times New Roman" w:hAnsi="Times New Roman" w:cs="Times New Roman"/>
          <w:sz w:val="21"/>
          <w:szCs w:val="21"/>
          <w:lang w:val="es"/>
        </w:rPr>
        <w:t>Capacidad para seleccionar un número de lote específico y enviar y facturar automáticamente según lo descrito en el contrato de compra.</w:t>
      </w:r>
    </w:p>
    <w:sectPr w:rsidR="0069054F" w:rsidRPr="00464F9C" w:rsidSect="009C4B75">
      <w:headerReference w:type="default" r:id="rId7"/>
      <w:footerReference w:type="default" r:id="rId8"/>
      <w:pgSz w:w="11907" w:h="16839" w:code="9"/>
      <w:pgMar w:top="720" w:right="720" w:bottom="720" w:left="72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F152A" w14:textId="77777777" w:rsidR="00E55794" w:rsidRDefault="00E55794" w:rsidP="00692A7C">
      <w:pPr>
        <w:spacing w:after="0" w:line="240" w:lineRule="auto"/>
      </w:pPr>
      <w:r>
        <w:separator/>
      </w:r>
    </w:p>
  </w:endnote>
  <w:endnote w:type="continuationSeparator" w:id="0">
    <w:p w14:paraId="45D4B173" w14:textId="77777777" w:rsidR="00E55794" w:rsidRDefault="00E55794" w:rsidP="00692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90F87" w14:textId="77777777" w:rsidR="001D1B5F" w:rsidRPr="001D1B5F" w:rsidRDefault="001D1B5F" w:rsidP="001D1B5F">
    <w:pPr>
      <w:pStyle w:val="Footer"/>
      <w:jc w:val="right"/>
      <w:rPr>
        <w:rFonts w:ascii="Arial Rounded MT Bold" w:hAnsi="Arial Rounded MT Bold"/>
        <w:color w:val="0099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B0907" w14:textId="77777777" w:rsidR="00E55794" w:rsidRDefault="00E55794" w:rsidP="00692A7C">
      <w:pPr>
        <w:spacing w:after="0" w:line="240" w:lineRule="auto"/>
      </w:pPr>
      <w:r>
        <w:separator/>
      </w:r>
    </w:p>
  </w:footnote>
  <w:footnote w:type="continuationSeparator" w:id="0">
    <w:p w14:paraId="70513D2F" w14:textId="77777777" w:rsidR="00E55794" w:rsidRDefault="00E55794" w:rsidP="00692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03B3D" w14:textId="77777777" w:rsidR="00692A7C" w:rsidRDefault="00692A7C" w:rsidP="00692A7C">
    <w:pPr>
      <w:pStyle w:val="Header"/>
      <w:jc w:val="right"/>
      <w:rPr>
        <w:rFonts w:ascii="Arial Rounded MT Bold" w:hAnsi="Arial Rounded MT Bold"/>
        <w:noProof/>
        <w:color w:val="009900"/>
      </w:rPr>
    </w:pPr>
  </w:p>
  <w:p w14:paraId="109D93D1" w14:textId="77777777" w:rsidR="00692A7C" w:rsidRPr="00464F9C" w:rsidRDefault="00692A7C" w:rsidP="00692A7C">
    <w:pPr>
      <w:pStyle w:val="Header"/>
      <w:shd w:val="clear" w:color="auto" w:fill="996633"/>
      <w:tabs>
        <w:tab w:val="right" w:pos="13680"/>
      </w:tabs>
      <w:ind w:left="-90" w:firstLine="90"/>
      <w:rPr>
        <w:rFonts w:ascii="Arial Rounded MT Bold" w:eastAsia="Times New Roman" w:hAnsi="Arial Rounded MT Bold" w:cs="Times New Roman"/>
        <w:color w:val="FFFFFF"/>
        <w:spacing w:val="-4"/>
        <w:sz w:val="28"/>
        <w:szCs w:val="28"/>
      </w:rPr>
    </w:pPr>
    <w:r w:rsidRPr="00464F9C">
      <w:rPr>
        <w:rFonts w:ascii="Arial Rounded MT Bold" w:eastAsia="Times New Roman" w:hAnsi="Arial Rounded MT Bold" w:cs="Times New Roman"/>
        <w:color w:val="FFFFFF"/>
        <w:spacing w:val="-4"/>
        <w:sz w:val="28"/>
        <w:szCs w:val="28"/>
        <w:lang w:val="es"/>
      </w:rPr>
      <w:t>Ayuda de trabajo 1: Selección del material de control de calidad adecuado </w:t>
    </w:r>
    <w:r w:rsidRPr="00464F9C">
      <w:rPr>
        <w:rFonts w:ascii="Arial Rounded MT Bold" w:eastAsia="Times New Roman" w:hAnsi="Arial Rounded MT Bold" w:cs="Times New Roman"/>
        <w:color w:val="FFFFFF"/>
        <w:spacing w:val="-4"/>
        <w:sz w:val="28"/>
        <w:szCs w:val="28"/>
        <w:vertAlign w:val="superscript"/>
        <w:lang w:val="es"/>
      </w:rPr>
      <w:t>606</w:t>
    </w:r>
  </w:p>
  <w:p w14:paraId="083C67C2" w14:textId="77777777" w:rsidR="00692A7C" w:rsidRDefault="00692A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57660"/>
    <w:multiLevelType w:val="hybridMultilevel"/>
    <w:tmpl w:val="26DC373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0E54EAB"/>
    <w:multiLevelType w:val="hybridMultilevel"/>
    <w:tmpl w:val="71762B9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5F144E4"/>
    <w:multiLevelType w:val="hybridMultilevel"/>
    <w:tmpl w:val="26A25A7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3D488D"/>
    <w:multiLevelType w:val="hybridMultilevel"/>
    <w:tmpl w:val="21866BA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3EB6276"/>
    <w:multiLevelType w:val="hybridMultilevel"/>
    <w:tmpl w:val="21C27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7618459">
    <w:abstractNumId w:val="4"/>
  </w:num>
  <w:num w:numId="2" w16cid:durableId="2005275452">
    <w:abstractNumId w:val="2"/>
  </w:num>
  <w:num w:numId="3" w16cid:durableId="2047294501">
    <w:abstractNumId w:val="3"/>
  </w:num>
  <w:num w:numId="4" w16cid:durableId="1660228085">
    <w:abstractNumId w:val="1"/>
  </w:num>
  <w:num w:numId="5" w16cid:durableId="1105154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2A7C"/>
    <w:rsid w:val="00044E97"/>
    <w:rsid w:val="000624C0"/>
    <w:rsid w:val="000713D1"/>
    <w:rsid w:val="001B5E90"/>
    <w:rsid w:val="001C31F1"/>
    <w:rsid w:val="001D1B5F"/>
    <w:rsid w:val="00237000"/>
    <w:rsid w:val="003E30C1"/>
    <w:rsid w:val="00464F9C"/>
    <w:rsid w:val="0069054F"/>
    <w:rsid w:val="00692A7C"/>
    <w:rsid w:val="007845EC"/>
    <w:rsid w:val="007B5766"/>
    <w:rsid w:val="00833593"/>
    <w:rsid w:val="0086646E"/>
    <w:rsid w:val="008E3267"/>
    <w:rsid w:val="009174ED"/>
    <w:rsid w:val="009C4B75"/>
    <w:rsid w:val="00A411E2"/>
    <w:rsid w:val="00B47FF2"/>
    <w:rsid w:val="00B731D8"/>
    <w:rsid w:val="00BB6C2D"/>
    <w:rsid w:val="00BE6392"/>
    <w:rsid w:val="00CB2876"/>
    <w:rsid w:val="00D5779B"/>
    <w:rsid w:val="00DA25D3"/>
    <w:rsid w:val="00E55794"/>
    <w:rsid w:val="00E67D23"/>
    <w:rsid w:val="00F061D8"/>
    <w:rsid w:val="00F61DD3"/>
    <w:rsid w:val="00FB30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9C4BB"/>
  <w15:docId w15:val="{EE90744F-936F-48E3-90B2-62C7C1329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A7C"/>
  </w:style>
  <w:style w:type="paragraph" w:styleId="Footer">
    <w:name w:val="footer"/>
    <w:basedOn w:val="Normal"/>
    <w:link w:val="FooterChar"/>
    <w:uiPriority w:val="99"/>
    <w:unhideWhenUsed/>
    <w:rsid w:val="00692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A7C"/>
  </w:style>
  <w:style w:type="paragraph" w:styleId="ListParagraph">
    <w:name w:val="List Paragraph"/>
    <w:basedOn w:val="Normal"/>
    <w:uiPriority w:val="34"/>
    <w:qFormat/>
    <w:rsid w:val="00BB6C2D"/>
    <w:pPr>
      <w:ind w:left="720"/>
      <w:contextualSpacing/>
    </w:pPr>
  </w:style>
  <w:style w:type="table" w:styleId="TableGrid">
    <w:name w:val="Table Grid"/>
    <w:basedOn w:val="TableNormal"/>
    <w:uiPriority w:val="59"/>
    <w:rsid w:val="008E3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JRL</cp:lastModifiedBy>
  <cp:revision>14</cp:revision>
  <dcterms:created xsi:type="dcterms:W3CDTF">2013-03-21T13:41:00Z</dcterms:created>
  <dcterms:modified xsi:type="dcterms:W3CDTF">2025-05-01T21:18:00Z</dcterms:modified>
</cp:coreProperties>
</file>