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E298F" w14:textId="77777777" w:rsidR="00A7196F" w:rsidRPr="00807806" w:rsidRDefault="00CB5233" w:rsidP="00807806">
      <w:pPr>
        <w:pStyle w:val="Title"/>
        <w:spacing w:before="100"/>
        <w:ind w:left="0" w:right="0"/>
        <w:rPr>
          <w:rFonts w:asciiTheme="minorHAnsi" w:hAnsiTheme="minorHAnsi" w:cstheme="minorHAnsi"/>
          <w:b/>
          <w:bCs/>
          <w:sz w:val="29"/>
          <w:szCs w:val="29"/>
          <w:lang w:val="es-ES"/>
        </w:rPr>
      </w:pPr>
      <w:r>
        <w:rPr>
          <w:rFonts w:asciiTheme="minorHAnsi" w:hAnsiTheme="minorHAnsi" w:cstheme="minorHAnsi"/>
          <w:b/>
          <w:bCs/>
          <w:color w:val="008000"/>
          <w:sz w:val="29"/>
          <w:szCs w:val="29"/>
          <w:lang w:val="es"/>
        </w:rPr>
        <w:t xml:space="preserve">Ayuda de trabajo 1: Pautas generales para los ensayos de aptitud </w:t>
      </w:r>
      <w:r>
        <w:rPr>
          <w:rFonts w:asciiTheme="minorHAnsi" w:hAnsiTheme="minorHAnsi" w:cstheme="minorHAnsi"/>
          <w:b/>
          <w:bCs/>
          <w:color w:val="008000"/>
          <w:sz w:val="29"/>
          <w:szCs w:val="29"/>
          <w:vertAlign w:val="superscript"/>
          <w:lang w:val="es"/>
        </w:rPr>
        <w:t>1107</w:t>
      </w:r>
    </w:p>
    <w:p w14:paraId="6B7D0CF1" w14:textId="77777777" w:rsidR="00A7196F" w:rsidRPr="00807806" w:rsidRDefault="00CB5233">
      <w:pPr>
        <w:pStyle w:val="BodyText"/>
        <w:spacing w:before="277"/>
        <w:ind w:left="100" w:right="30" w:firstLine="0"/>
        <w:rPr>
          <w:sz w:val="22"/>
          <w:szCs w:val="22"/>
          <w:lang w:val="es-ES"/>
        </w:rPr>
      </w:pPr>
      <w:r w:rsidRPr="00807806">
        <w:rPr>
          <w:sz w:val="22"/>
          <w:szCs w:val="22"/>
          <w:lang w:val="es"/>
        </w:rPr>
        <w:t>Los ensayos de aptitud (</w:t>
      </w:r>
      <w:proofErr w:type="spellStart"/>
      <w:r w:rsidRPr="00807806">
        <w:rPr>
          <w:sz w:val="22"/>
          <w:szCs w:val="22"/>
          <w:lang w:val="es"/>
        </w:rPr>
        <w:t>proficiency</w:t>
      </w:r>
      <w:proofErr w:type="spellEnd"/>
      <w:r w:rsidRPr="00807806">
        <w:rPr>
          <w:sz w:val="22"/>
          <w:szCs w:val="22"/>
          <w:lang w:val="es"/>
        </w:rPr>
        <w:t xml:space="preserve"> testing, PT) son un elemento esencial de la garantía de la calidad del laboratorio. El ensayo de aptitud es una evaluación independiente e imparcial que determina la capacidad del laboratorio para producir respuestas correctas. Los ensayos de aptitud proporcionan una evaluación de la validez de las pruebas en su laboratorio.</w:t>
      </w:r>
    </w:p>
    <w:p w14:paraId="37666A05" w14:textId="77777777" w:rsidR="00A7196F" w:rsidRPr="00671A11" w:rsidRDefault="00A7196F">
      <w:pPr>
        <w:pStyle w:val="BodyText"/>
        <w:spacing w:before="11"/>
        <w:ind w:left="0" w:firstLine="0"/>
        <w:rPr>
          <w:sz w:val="14"/>
          <w:szCs w:val="14"/>
          <w:lang w:val="es-ES"/>
        </w:rPr>
      </w:pPr>
    </w:p>
    <w:p w14:paraId="69D17270" w14:textId="77777777" w:rsidR="00671A11" w:rsidRDefault="00CB5233" w:rsidP="00807806">
      <w:pPr>
        <w:pStyle w:val="Heading1"/>
        <w:spacing w:before="1"/>
        <w:ind w:hanging="721"/>
        <w:rPr>
          <w:sz w:val="22"/>
          <w:szCs w:val="22"/>
          <w:lang w:val="es"/>
        </w:rPr>
      </w:pPr>
      <w:r w:rsidRPr="00807806">
        <w:rPr>
          <w:sz w:val="22"/>
          <w:szCs w:val="22"/>
          <w:lang w:val="es"/>
        </w:rPr>
        <w:t>Procesamiento del estudio de PT</w:t>
      </w:r>
    </w:p>
    <w:p w14:paraId="6EFE0E04" w14:textId="056E0C10" w:rsidR="00A7196F" w:rsidRPr="00807806" w:rsidRDefault="00CB5233" w:rsidP="00671A11">
      <w:pPr>
        <w:pStyle w:val="Heading1"/>
        <w:spacing w:line="291" w:lineRule="exact"/>
        <w:rPr>
          <w:sz w:val="22"/>
          <w:szCs w:val="22"/>
          <w:lang w:val="es-ES"/>
        </w:rPr>
      </w:pPr>
      <w:r w:rsidRPr="00807806">
        <w:rPr>
          <w:color w:val="008000"/>
          <w:sz w:val="22"/>
          <w:szCs w:val="22"/>
          <w:lang w:val="es"/>
        </w:rPr>
        <w:t>Fase preanalítica</w:t>
      </w:r>
    </w:p>
    <w:p w14:paraId="236CA53E" w14:textId="77777777" w:rsidR="00A7196F" w:rsidRPr="00807806" w:rsidRDefault="00CB5233" w:rsidP="00657747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93" w:lineRule="exact"/>
        <w:ind w:left="1188" w:hanging="10"/>
        <w:rPr>
          <w:lang w:val="es-ES"/>
        </w:rPr>
      </w:pPr>
      <w:r w:rsidRPr="00807806">
        <w:rPr>
          <w:lang w:val="es"/>
        </w:rPr>
        <w:t>Anote la fecha de recepción de su envío.</w:t>
      </w:r>
    </w:p>
    <w:p w14:paraId="1A0C03AF" w14:textId="77777777" w:rsidR="00A7196F" w:rsidRPr="00807806" w:rsidRDefault="00CB5233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42" w:lineRule="auto"/>
        <w:ind w:right="416"/>
        <w:rPr>
          <w:lang w:val="es-ES"/>
        </w:rPr>
      </w:pPr>
      <w:r w:rsidRPr="00807806">
        <w:rPr>
          <w:lang w:val="es"/>
        </w:rPr>
        <w:t>Inspeccione y coteje de inmediato el contenido de su envío con la documentación adjunta.</w:t>
      </w:r>
    </w:p>
    <w:p w14:paraId="59F600FA" w14:textId="77777777" w:rsidR="00A7196F" w:rsidRPr="00807806" w:rsidRDefault="00CB5233" w:rsidP="00657747">
      <w:pPr>
        <w:pStyle w:val="ListParagraph"/>
        <w:numPr>
          <w:ilvl w:val="0"/>
          <w:numId w:val="1"/>
        </w:numPr>
        <w:tabs>
          <w:tab w:val="left" w:pos="1539"/>
          <w:tab w:val="left" w:pos="1541"/>
        </w:tabs>
        <w:spacing w:line="289" w:lineRule="exact"/>
        <w:ind w:left="1188" w:firstLine="0"/>
        <w:rPr>
          <w:lang w:val="es-ES"/>
        </w:rPr>
      </w:pPr>
      <w:r w:rsidRPr="00807806">
        <w:rPr>
          <w:lang w:val="es"/>
        </w:rPr>
        <w:t>¿Están disponibles todos los especímenes necesarios?</w:t>
      </w:r>
    </w:p>
    <w:p w14:paraId="4D905DB2" w14:textId="77777777" w:rsidR="00A7196F" w:rsidRPr="00807806" w:rsidRDefault="00CB5233" w:rsidP="00197437">
      <w:pPr>
        <w:pStyle w:val="ListParagraph"/>
        <w:numPr>
          <w:ilvl w:val="0"/>
          <w:numId w:val="1"/>
        </w:numPr>
        <w:tabs>
          <w:tab w:val="left" w:pos="1530"/>
          <w:tab w:val="left" w:pos="1541"/>
        </w:tabs>
        <w:ind w:left="1179" w:firstLine="9"/>
        <w:rPr>
          <w:lang w:val="es-ES"/>
        </w:rPr>
      </w:pPr>
      <w:r w:rsidRPr="00807806">
        <w:rPr>
          <w:lang w:val="es"/>
        </w:rPr>
        <w:t>¿Es aceptable la calidad y apariencia de los especímenes?</w:t>
      </w:r>
    </w:p>
    <w:p w14:paraId="36675E91" w14:textId="77777777" w:rsidR="00A7196F" w:rsidRPr="00807806" w:rsidRDefault="00CB5233" w:rsidP="00197437">
      <w:pPr>
        <w:pStyle w:val="ListParagraph"/>
        <w:numPr>
          <w:ilvl w:val="1"/>
          <w:numId w:val="1"/>
        </w:numPr>
        <w:tabs>
          <w:tab w:val="left" w:pos="2196"/>
        </w:tabs>
        <w:spacing w:line="294" w:lineRule="exact"/>
        <w:ind w:left="1827" w:firstLine="0"/>
        <w:rPr>
          <w:lang w:val="es-ES"/>
        </w:rPr>
      </w:pPr>
      <w:r w:rsidRPr="00807806">
        <w:rPr>
          <w:lang w:val="es"/>
        </w:rPr>
        <w:t>Almacene el envío de manera adecuada.</w:t>
      </w:r>
    </w:p>
    <w:p w14:paraId="36A39F8B" w14:textId="77777777" w:rsidR="00A7196F" w:rsidRPr="00807806" w:rsidRDefault="00CB5233" w:rsidP="00197437">
      <w:pPr>
        <w:pStyle w:val="ListParagraph"/>
        <w:numPr>
          <w:ilvl w:val="1"/>
          <w:numId w:val="1"/>
        </w:numPr>
        <w:tabs>
          <w:tab w:val="left" w:pos="2196"/>
        </w:tabs>
        <w:spacing w:line="293" w:lineRule="exact"/>
        <w:ind w:left="1827" w:firstLine="0"/>
        <w:rPr>
          <w:lang w:val="es-ES"/>
        </w:rPr>
      </w:pPr>
      <w:r w:rsidRPr="00807806">
        <w:rPr>
          <w:lang w:val="es"/>
        </w:rPr>
        <w:t>Anote la fecha de vencimiento de los resultados.</w:t>
      </w:r>
    </w:p>
    <w:p w14:paraId="3E2C5A2F" w14:textId="77777777" w:rsidR="00A7196F" w:rsidRPr="00807806" w:rsidRDefault="00CB5233" w:rsidP="00197437">
      <w:pPr>
        <w:pStyle w:val="ListParagraph"/>
        <w:numPr>
          <w:ilvl w:val="1"/>
          <w:numId w:val="1"/>
        </w:numPr>
        <w:tabs>
          <w:tab w:val="left" w:pos="2196"/>
        </w:tabs>
        <w:spacing w:line="293" w:lineRule="exact"/>
        <w:ind w:left="1827" w:firstLine="0"/>
        <w:rPr>
          <w:lang w:val="es-ES"/>
        </w:rPr>
      </w:pPr>
      <w:r w:rsidRPr="00807806">
        <w:rPr>
          <w:lang w:val="es"/>
        </w:rPr>
        <w:t>Reconstituya los especímenes con pipetas volumétricas y el diluyente correcto.</w:t>
      </w:r>
    </w:p>
    <w:p w14:paraId="468C89E0" w14:textId="77777777" w:rsidR="00A7196F" w:rsidRPr="00807806" w:rsidRDefault="00CB5233" w:rsidP="00197437">
      <w:pPr>
        <w:pStyle w:val="ListParagraph"/>
        <w:numPr>
          <w:ilvl w:val="1"/>
          <w:numId w:val="1"/>
        </w:numPr>
        <w:tabs>
          <w:tab w:val="left" w:pos="2196"/>
        </w:tabs>
        <w:spacing w:line="294" w:lineRule="exact"/>
        <w:ind w:left="1827" w:firstLine="0"/>
        <w:rPr>
          <w:lang w:val="es-ES"/>
        </w:rPr>
      </w:pPr>
      <w:r w:rsidRPr="00807806">
        <w:rPr>
          <w:lang w:val="es"/>
        </w:rPr>
        <w:t>Mezcle bien las muestras antes de analizarlas.</w:t>
      </w:r>
    </w:p>
    <w:p w14:paraId="1892372F" w14:textId="77777777" w:rsidR="00A7196F" w:rsidRPr="00807806" w:rsidRDefault="00CB5233">
      <w:pPr>
        <w:pStyle w:val="Heading1"/>
        <w:spacing w:line="291" w:lineRule="exact"/>
        <w:rPr>
          <w:sz w:val="22"/>
          <w:szCs w:val="22"/>
        </w:rPr>
      </w:pPr>
      <w:r w:rsidRPr="00807806">
        <w:rPr>
          <w:color w:val="008000"/>
          <w:sz w:val="22"/>
          <w:szCs w:val="22"/>
          <w:lang w:val="es"/>
        </w:rPr>
        <w:t>Fase analítica</w:t>
      </w:r>
    </w:p>
    <w:p w14:paraId="3C5BD3A0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708"/>
        <w:jc w:val="both"/>
        <w:rPr>
          <w:lang w:val="es-ES"/>
        </w:rPr>
      </w:pPr>
      <w:r w:rsidRPr="00807806">
        <w:rPr>
          <w:lang w:val="es"/>
        </w:rPr>
        <w:t>Analice los especímenes a la temperatura correcta. Si el envío se almacenó en el refrigerador, es posible que los especímenes deban estar a temperatura ambiente antes de analizarlos.</w:t>
      </w:r>
    </w:p>
    <w:p w14:paraId="29D27AE4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30"/>
          <w:tab w:val="left" w:pos="1541"/>
        </w:tabs>
        <w:ind w:right="708"/>
        <w:jc w:val="both"/>
        <w:rPr>
          <w:lang w:val="es-ES"/>
        </w:rPr>
      </w:pPr>
      <w:r w:rsidRPr="00807806">
        <w:rPr>
          <w:lang w:val="es"/>
        </w:rPr>
        <w:t>Consulte siempre las instrucciones del estudio para el almacenamiento y el manejo de los especímenes.</w:t>
      </w:r>
    </w:p>
    <w:p w14:paraId="0AC14789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30"/>
          <w:tab w:val="left" w:pos="1541"/>
        </w:tabs>
        <w:ind w:left="1188" w:firstLine="0"/>
        <w:rPr>
          <w:lang w:val="es-ES"/>
        </w:rPr>
      </w:pPr>
      <w:r w:rsidRPr="00807806">
        <w:rPr>
          <w:lang w:val="es"/>
        </w:rPr>
        <w:t>Analice los especímenes del PT de la misma manera que los especímenes de pacientes.</w:t>
      </w:r>
    </w:p>
    <w:p w14:paraId="33E209EB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1077"/>
        <w:jc w:val="both"/>
        <w:rPr>
          <w:lang w:val="es-ES"/>
        </w:rPr>
      </w:pPr>
      <w:r w:rsidRPr="00807806">
        <w:rPr>
          <w:u w:val="single"/>
          <w:lang w:val="es"/>
        </w:rPr>
        <w:t>No</w:t>
      </w:r>
      <w:r w:rsidRPr="00807806">
        <w:rPr>
          <w:lang w:val="es"/>
        </w:rPr>
        <w:t xml:space="preserve"> remita ninguna muestra del PT a otro laboratorio, incluso si su instrumento no funciona o es parte de su algoritmo de prueba.</w:t>
      </w:r>
    </w:p>
    <w:p w14:paraId="01A34A3A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531"/>
        <w:jc w:val="both"/>
        <w:rPr>
          <w:lang w:val="es-ES"/>
        </w:rPr>
      </w:pPr>
      <w:r w:rsidRPr="00807806">
        <w:rPr>
          <w:lang w:val="es"/>
        </w:rPr>
        <w:t>Rote la responsabilidad de las pruebas de muestras del PT entre todo el personal que realiza análisis de rutina en su laboratorio.</w:t>
      </w:r>
    </w:p>
    <w:p w14:paraId="70633BFB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39"/>
          <w:tab w:val="left" w:pos="1541"/>
        </w:tabs>
        <w:spacing w:line="293" w:lineRule="exact"/>
        <w:ind w:left="1206" w:hanging="18"/>
        <w:rPr>
          <w:lang w:val="es-ES"/>
        </w:rPr>
      </w:pPr>
      <w:r w:rsidRPr="00807806">
        <w:rPr>
          <w:lang w:val="es"/>
        </w:rPr>
        <w:t>Realice el análisis del PT mucho antes de la fecha de entrega de los resultados.</w:t>
      </w:r>
    </w:p>
    <w:p w14:paraId="2A00ECC5" w14:textId="77777777" w:rsidR="00A7196F" w:rsidRPr="00807806" w:rsidRDefault="00CB5233">
      <w:pPr>
        <w:pStyle w:val="Heading1"/>
        <w:rPr>
          <w:sz w:val="22"/>
          <w:szCs w:val="22"/>
        </w:rPr>
      </w:pPr>
      <w:r w:rsidRPr="00807806">
        <w:rPr>
          <w:color w:val="008000"/>
          <w:sz w:val="22"/>
          <w:szCs w:val="22"/>
          <w:lang w:val="es"/>
        </w:rPr>
        <w:t xml:space="preserve">Fase </w:t>
      </w:r>
      <w:proofErr w:type="spellStart"/>
      <w:r w:rsidRPr="00807806">
        <w:rPr>
          <w:color w:val="008000"/>
          <w:sz w:val="22"/>
          <w:szCs w:val="22"/>
          <w:lang w:val="es"/>
        </w:rPr>
        <w:t>posanalítica</w:t>
      </w:r>
      <w:proofErr w:type="spellEnd"/>
    </w:p>
    <w:p w14:paraId="008805D5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674"/>
        </w:tabs>
        <w:ind w:right="1298"/>
        <w:jc w:val="both"/>
        <w:rPr>
          <w:lang w:val="es-ES"/>
        </w:rPr>
      </w:pPr>
      <w:r w:rsidRPr="00807806">
        <w:rPr>
          <w:lang w:val="es"/>
        </w:rPr>
        <w:t>Asegúrese de que los resultados de su laboratorio se informen de acuerdo con las instrucciones del proveedor del PT.</w:t>
      </w:r>
    </w:p>
    <w:p w14:paraId="7D545BB2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322"/>
        <w:jc w:val="both"/>
        <w:rPr>
          <w:lang w:val="es-ES"/>
        </w:rPr>
      </w:pPr>
      <w:r w:rsidRPr="00807806">
        <w:rPr>
          <w:lang w:val="es"/>
        </w:rPr>
        <w:t>Asegúrese de que se registren el método y el código de instrumento adecuados para cada prueba, de modo que pueda formar parte del grupo de pares correcto.</w:t>
      </w:r>
    </w:p>
    <w:p w14:paraId="284EB906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301"/>
        <w:jc w:val="both"/>
        <w:rPr>
          <w:lang w:val="es-ES"/>
        </w:rPr>
      </w:pPr>
      <w:r w:rsidRPr="00807806">
        <w:rPr>
          <w:lang w:val="es"/>
        </w:rPr>
        <w:t xml:space="preserve">Si la respuesta correcta es que </w:t>
      </w:r>
      <w:r w:rsidRPr="00807806">
        <w:rPr>
          <w:i/>
          <w:iCs/>
          <w:lang w:val="es"/>
        </w:rPr>
        <w:t>no se realizó</w:t>
      </w:r>
      <w:r w:rsidRPr="00807806">
        <w:rPr>
          <w:lang w:val="es"/>
        </w:rPr>
        <w:t xml:space="preserve"> la prueba debido a problemas con el equipo, indíquelo en el formulario.</w:t>
      </w:r>
    </w:p>
    <w:p w14:paraId="6F1CD5D9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252"/>
        <w:rPr>
          <w:lang w:val="es-ES"/>
        </w:rPr>
      </w:pPr>
      <w:r w:rsidRPr="00807806">
        <w:rPr>
          <w:lang w:val="es"/>
        </w:rPr>
        <w:t xml:space="preserve">Si el resultado obtenido requiere pruebas adicionales según el algoritmo de su laboratorio, indique en el formulario que </w:t>
      </w:r>
      <w:r w:rsidRPr="00807806">
        <w:rPr>
          <w:i/>
          <w:iCs/>
          <w:lang w:val="es"/>
        </w:rPr>
        <w:t>se enviará a un laboratorio de referencia</w:t>
      </w:r>
      <w:r w:rsidRPr="00807806">
        <w:rPr>
          <w:lang w:val="es"/>
        </w:rPr>
        <w:t xml:space="preserve"> o que </w:t>
      </w:r>
      <w:r w:rsidRPr="00807806">
        <w:rPr>
          <w:i/>
          <w:iCs/>
          <w:lang w:val="es"/>
        </w:rPr>
        <w:t>se requieren pruebas adicionales</w:t>
      </w:r>
      <w:r w:rsidRPr="00807806">
        <w:rPr>
          <w:lang w:val="es"/>
        </w:rPr>
        <w:t>, pero no envíe la muestra del PT a otro laboratorio.</w:t>
      </w:r>
    </w:p>
    <w:p w14:paraId="4044C84A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92" w:lineRule="exact"/>
        <w:ind w:hanging="361"/>
        <w:rPr>
          <w:lang w:val="es-ES"/>
        </w:rPr>
      </w:pPr>
      <w:r w:rsidRPr="00807806">
        <w:rPr>
          <w:lang w:val="es"/>
        </w:rPr>
        <w:t>Revise los resultados en busca de errores administrativos en la hoja de respuestas, incluida la ubicación del punto decimal.</w:t>
      </w:r>
    </w:p>
    <w:p w14:paraId="29C48C6F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614"/>
        <w:jc w:val="both"/>
        <w:rPr>
          <w:lang w:val="es-ES"/>
        </w:rPr>
      </w:pPr>
      <w:r w:rsidRPr="00807806">
        <w:rPr>
          <w:lang w:val="es"/>
        </w:rPr>
        <w:t>Conserve una copia de la hoja de respuestas para sus registros. Adjunte todos los datos brutos y la impresión del instrumento a la hoja de respuestas.</w:t>
      </w:r>
    </w:p>
    <w:p w14:paraId="744C5816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line="293" w:lineRule="exact"/>
        <w:ind w:hanging="361"/>
        <w:rPr>
          <w:lang w:val="es-ES"/>
        </w:rPr>
      </w:pPr>
      <w:r w:rsidRPr="00807806">
        <w:rPr>
          <w:lang w:val="es"/>
        </w:rPr>
        <w:t>Si es posible, conserve los especímenes en el congelador para realizar pruebas de confirmación si es necesario.</w:t>
      </w:r>
    </w:p>
    <w:p w14:paraId="2FDC350F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114"/>
        <w:rPr>
          <w:lang w:val="es-ES"/>
        </w:rPr>
      </w:pPr>
      <w:r w:rsidRPr="00807806">
        <w:rPr>
          <w:lang w:val="es"/>
        </w:rPr>
        <w:t xml:space="preserve">Si utiliza los materiales de muestra del PT para verificar otros instrumentos o métodos, o como parte de su programa de capacitación de competencias, entonces asegúrese por completo de que los resultados del PT se envíen al proveedor del PT </w:t>
      </w:r>
      <w:r w:rsidRPr="00807806">
        <w:rPr>
          <w:u w:val="single"/>
          <w:lang w:val="es"/>
        </w:rPr>
        <w:t>antes</w:t>
      </w:r>
      <w:r w:rsidRPr="00807806">
        <w:rPr>
          <w:lang w:val="es"/>
        </w:rPr>
        <w:t xml:space="preserve"> de comenzar estas actividades.</w:t>
      </w:r>
    </w:p>
    <w:p w14:paraId="2DEC5E09" w14:textId="77777777" w:rsidR="00A7196F" w:rsidRPr="00807806" w:rsidRDefault="00CB5233">
      <w:pPr>
        <w:pStyle w:val="Heading1"/>
        <w:spacing w:line="292" w:lineRule="exact"/>
        <w:rPr>
          <w:sz w:val="22"/>
          <w:szCs w:val="22"/>
        </w:rPr>
      </w:pPr>
      <w:r w:rsidRPr="00807806">
        <w:rPr>
          <w:color w:val="008000"/>
          <w:sz w:val="22"/>
          <w:szCs w:val="22"/>
          <w:lang w:val="es"/>
        </w:rPr>
        <w:t>Recepción de resultados</w:t>
      </w:r>
    </w:p>
    <w:p w14:paraId="5FE05416" w14:textId="77777777" w:rsidR="00A7196F" w:rsidRPr="00807806" w:rsidRDefault="00CB5233" w:rsidP="00CB0421">
      <w:pPr>
        <w:pStyle w:val="ListParagraph"/>
        <w:numPr>
          <w:ilvl w:val="0"/>
          <w:numId w:val="1"/>
        </w:numPr>
        <w:tabs>
          <w:tab w:val="left" w:pos="1539"/>
          <w:tab w:val="left" w:pos="1541"/>
        </w:tabs>
        <w:ind w:left="1206" w:hanging="18"/>
        <w:rPr>
          <w:lang w:val="es-ES"/>
        </w:rPr>
      </w:pPr>
      <w:r w:rsidRPr="00807806">
        <w:rPr>
          <w:lang w:val="es"/>
        </w:rPr>
        <w:t>Revise sus resultados con su grupo de pares.</w:t>
      </w:r>
    </w:p>
    <w:p w14:paraId="3C06C182" w14:textId="77777777" w:rsidR="00A7196F" w:rsidRPr="00807806" w:rsidRDefault="00CB5233" w:rsidP="00CB0421">
      <w:pPr>
        <w:pStyle w:val="ListParagraph"/>
        <w:numPr>
          <w:ilvl w:val="0"/>
          <w:numId w:val="1"/>
        </w:numPr>
        <w:tabs>
          <w:tab w:val="left" w:pos="1539"/>
          <w:tab w:val="left" w:pos="1541"/>
        </w:tabs>
        <w:ind w:left="1206" w:hanging="18"/>
        <w:rPr>
          <w:lang w:val="es-ES"/>
        </w:rPr>
      </w:pPr>
      <w:r w:rsidRPr="00807806">
        <w:rPr>
          <w:lang w:val="es"/>
        </w:rPr>
        <w:t xml:space="preserve">Investigue todas las calificaciones </w:t>
      </w:r>
      <w:r w:rsidRPr="00807806">
        <w:rPr>
          <w:i/>
          <w:iCs/>
          <w:lang w:val="es"/>
        </w:rPr>
        <w:t>inaceptables.</w:t>
      </w:r>
    </w:p>
    <w:p w14:paraId="6A3A792E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39"/>
          <w:tab w:val="left" w:pos="1541"/>
        </w:tabs>
        <w:ind w:right="708"/>
        <w:jc w:val="both"/>
        <w:rPr>
          <w:lang w:val="es-ES"/>
        </w:rPr>
      </w:pPr>
      <w:r w:rsidRPr="00807806">
        <w:rPr>
          <w:lang w:val="es"/>
        </w:rPr>
        <w:t>Asegúrese de que el director del laboratorio y el supervisor revisen, firmen y fechen los resultados.</w:t>
      </w:r>
    </w:p>
    <w:p w14:paraId="6047DB8F" w14:textId="77777777" w:rsidR="00A7196F" w:rsidRPr="00807806" w:rsidRDefault="00CB5233" w:rsidP="00413D01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ind w:right="207"/>
        <w:jc w:val="both"/>
        <w:rPr>
          <w:lang w:val="es-ES"/>
        </w:rPr>
      </w:pPr>
      <w:r w:rsidRPr="00807806">
        <w:rPr>
          <w:lang w:val="es"/>
        </w:rPr>
        <w:t>Revise los resultados con el personal de ensayos. Conserve una copia para la evaluación de competencias y colóquela en el registro de personal.</w:t>
      </w:r>
    </w:p>
    <w:p w14:paraId="3FBEF4D6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8"/>
          <w:tab w:val="left" w:pos="1541"/>
        </w:tabs>
        <w:ind w:right="708"/>
        <w:jc w:val="both"/>
        <w:rPr>
          <w:lang w:val="es-ES"/>
        </w:rPr>
      </w:pPr>
      <w:r w:rsidRPr="00807806">
        <w:rPr>
          <w:lang w:val="es"/>
        </w:rPr>
        <w:t>Investigue cualquier baja calificación y complete una evaluación de la lista de verificación de fallas de la EQA.</w:t>
      </w:r>
    </w:p>
    <w:p w14:paraId="1BC38133" w14:textId="77777777" w:rsidR="00A7196F" w:rsidRPr="00807806" w:rsidRDefault="00CB5233" w:rsidP="00807806">
      <w:pPr>
        <w:pStyle w:val="ListParagraph"/>
        <w:numPr>
          <w:ilvl w:val="0"/>
          <w:numId w:val="1"/>
        </w:numPr>
        <w:tabs>
          <w:tab w:val="left" w:pos="1548"/>
          <w:tab w:val="left" w:pos="1541"/>
        </w:tabs>
        <w:ind w:right="708"/>
        <w:jc w:val="both"/>
        <w:rPr>
          <w:lang w:val="es-ES"/>
        </w:rPr>
      </w:pPr>
      <w:r w:rsidRPr="00807806">
        <w:rPr>
          <w:lang w:val="es"/>
        </w:rPr>
        <w:t>Realice un seguimiento con acciones correctivas si está indicado.</w:t>
      </w:r>
    </w:p>
    <w:sectPr w:rsidR="00A7196F" w:rsidRPr="00807806" w:rsidSect="00DB5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620" w:right="640" w:bottom="280" w:left="6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ABADA" w14:textId="77777777" w:rsidR="00414C61" w:rsidRDefault="00414C61" w:rsidP="00DB5B66">
      <w:r>
        <w:separator/>
      </w:r>
    </w:p>
  </w:endnote>
  <w:endnote w:type="continuationSeparator" w:id="0">
    <w:p w14:paraId="6624B05C" w14:textId="77777777" w:rsidR="00414C61" w:rsidRDefault="00414C61" w:rsidP="00DB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150A6" w14:textId="77777777" w:rsidR="00872FE2" w:rsidRDefault="00872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994B2" w14:textId="77777777" w:rsidR="00872FE2" w:rsidRDefault="00872F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D8D5" w14:textId="77777777" w:rsidR="00872FE2" w:rsidRDefault="00872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F9D49" w14:textId="77777777" w:rsidR="00414C61" w:rsidRDefault="00414C61" w:rsidP="00DB5B66">
      <w:r>
        <w:separator/>
      </w:r>
    </w:p>
  </w:footnote>
  <w:footnote w:type="continuationSeparator" w:id="0">
    <w:p w14:paraId="53DB9A43" w14:textId="77777777" w:rsidR="00414C61" w:rsidRDefault="00414C61" w:rsidP="00DB5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E3D17" w14:textId="7A0ED401" w:rsidR="00DB5B66" w:rsidRDefault="00DB5B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BC135" w14:textId="25E8155D" w:rsidR="00DB5B66" w:rsidRDefault="00DB5B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8E108" w14:textId="0C24C7BA" w:rsidR="00DB5B66" w:rsidRDefault="00DB5B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62CCF"/>
    <w:multiLevelType w:val="hybridMultilevel"/>
    <w:tmpl w:val="57AA84B2"/>
    <w:lvl w:ilvl="0" w:tplc="3BC2D7FE">
      <w:numFmt w:val="bullet"/>
      <w:lvlText w:val=""/>
      <w:lvlJc w:val="left"/>
      <w:pPr>
        <w:ind w:left="15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6600"/>
        <w:w w:val="99"/>
        <w:sz w:val="20"/>
        <w:szCs w:val="20"/>
        <w:lang w:val="en-US" w:eastAsia="en-US" w:bidi="ar-SA"/>
      </w:rPr>
    </w:lvl>
    <w:lvl w:ilvl="1" w:tplc="E3302496">
      <w:numFmt w:val="bullet"/>
      <w:lvlText w:val="o"/>
      <w:lvlJc w:val="left"/>
      <w:pPr>
        <w:ind w:left="218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8000"/>
        <w:w w:val="100"/>
        <w:sz w:val="22"/>
        <w:szCs w:val="22"/>
        <w:lang w:val="en-US" w:eastAsia="en-US" w:bidi="ar-SA"/>
      </w:rPr>
    </w:lvl>
    <w:lvl w:ilvl="2" w:tplc="E3364352"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 w:tplc="2A72E242">
      <w:numFmt w:val="bullet"/>
      <w:lvlText w:val="•"/>
      <w:lvlJc w:val="left"/>
      <w:pPr>
        <w:ind w:left="4061" w:hanging="360"/>
      </w:pPr>
      <w:rPr>
        <w:rFonts w:hint="default"/>
        <w:lang w:val="en-US" w:eastAsia="en-US" w:bidi="ar-SA"/>
      </w:rPr>
    </w:lvl>
    <w:lvl w:ilvl="4" w:tplc="8F1A73BC">
      <w:numFmt w:val="bullet"/>
      <w:lvlText w:val="•"/>
      <w:lvlJc w:val="left"/>
      <w:pPr>
        <w:ind w:left="5002" w:hanging="360"/>
      </w:pPr>
      <w:rPr>
        <w:rFonts w:hint="default"/>
        <w:lang w:val="en-US" w:eastAsia="en-US" w:bidi="ar-SA"/>
      </w:rPr>
    </w:lvl>
    <w:lvl w:ilvl="5" w:tplc="50F080F4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6" w:tplc="7CB465F4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7" w:tplc="B7A49C32">
      <w:numFmt w:val="bullet"/>
      <w:lvlText w:val="•"/>
      <w:lvlJc w:val="left"/>
      <w:pPr>
        <w:ind w:left="7825" w:hanging="360"/>
      </w:pPr>
      <w:rPr>
        <w:rFonts w:hint="default"/>
        <w:lang w:val="en-US" w:eastAsia="en-US" w:bidi="ar-SA"/>
      </w:rPr>
    </w:lvl>
    <w:lvl w:ilvl="8" w:tplc="B4E8D9D4">
      <w:numFmt w:val="bullet"/>
      <w:lvlText w:val="•"/>
      <w:lvlJc w:val="left"/>
      <w:pPr>
        <w:ind w:left="8766" w:hanging="360"/>
      </w:pPr>
      <w:rPr>
        <w:rFonts w:hint="default"/>
        <w:lang w:val="en-US" w:eastAsia="en-US" w:bidi="ar-SA"/>
      </w:rPr>
    </w:lvl>
  </w:abstractNum>
  <w:num w:numId="1" w16cid:durableId="36707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6F"/>
    <w:rsid w:val="000105F5"/>
    <w:rsid w:val="00060A3D"/>
    <w:rsid w:val="000672F1"/>
    <w:rsid w:val="00197437"/>
    <w:rsid w:val="001B6B85"/>
    <w:rsid w:val="001D4399"/>
    <w:rsid w:val="002B6813"/>
    <w:rsid w:val="002E787A"/>
    <w:rsid w:val="0040144C"/>
    <w:rsid w:val="00413D01"/>
    <w:rsid w:val="00414C61"/>
    <w:rsid w:val="00452F73"/>
    <w:rsid w:val="004D673D"/>
    <w:rsid w:val="005A139A"/>
    <w:rsid w:val="005F4ECB"/>
    <w:rsid w:val="00657747"/>
    <w:rsid w:val="00671A11"/>
    <w:rsid w:val="006B18B6"/>
    <w:rsid w:val="007C70CC"/>
    <w:rsid w:val="00807806"/>
    <w:rsid w:val="00847EA4"/>
    <w:rsid w:val="00872FE2"/>
    <w:rsid w:val="008A2811"/>
    <w:rsid w:val="008C0B27"/>
    <w:rsid w:val="008E52F1"/>
    <w:rsid w:val="009C127C"/>
    <w:rsid w:val="00A127B9"/>
    <w:rsid w:val="00A7196F"/>
    <w:rsid w:val="00A93C0A"/>
    <w:rsid w:val="00AD379F"/>
    <w:rsid w:val="00B0206D"/>
    <w:rsid w:val="00B56659"/>
    <w:rsid w:val="00B80D0D"/>
    <w:rsid w:val="00C34469"/>
    <w:rsid w:val="00C51702"/>
    <w:rsid w:val="00C54C61"/>
    <w:rsid w:val="00CB0421"/>
    <w:rsid w:val="00CB5233"/>
    <w:rsid w:val="00D456CF"/>
    <w:rsid w:val="00D522FE"/>
    <w:rsid w:val="00DA1109"/>
    <w:rsid w:val="00DB5B66"/>
    <w:rsid w:val="00DD069C"/>
    <w:rsid w:val="00E2588B"/>
    <w:rsid w:val="00E916AE"/>
    <w:rsid w:val="00F2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CDEDB"/>
  <w15:docId w15:val="{18432F3E-278C-4A87-BF6D-A7BF13B0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40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7"/>
      <w:ind w:left="1501" w:right="1479"/>
      <w:jc w:val="center"/>
    </w:pPr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B5B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B6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B5B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B6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Guidelines for Proficiency Testing607</dc:title>
  <dc:creator>dbx4</dc:creator>
  <cp:lastModifiedBy>Admin</cp:lastModifiedBy>
  <cp:revision>5</cp:revision>
  <cp:lastPrinted>2025-05-04T11:03:00Z</cp:lastPrinted>
  <dcterms:created xsi:type="dcterms:W3CDTF">2024-12-05T07:21:00Z</dcterms:created>
  <dcterms:modified xsi:type="dcterms:W3CDTF">2025-05-04T11:03:00Z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2024-12-05T00:00:00Z</vt:filetime>
  </property>
</Properties>
</file>