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E1FDF" w14:textId="77777777" w:rsidR="00724AE5" w:rsidRPr="0042503D" w:rsidRDefault="00AD4E2D" w:rsidP="00AD4E2D">
      <w:pPr>
        <w:spacing w:line="235" w:lineRule="auto"/>
        <w:ind w:left="110" w:right="233"/>
        <w:rPr>
          <w:b/>
          <w:snapToGrid w:val="0"/>
          <w:szCs w:val="21"/>
          <w:lang w:val="fr-FR"/>
        </w:rPr>
      </w:pPr>
      <w:bookmarkStart w:id="0" w:name="_bookmark0"/>
      <w:bookmarkEnd w:id="0"/>
      <w:r w:rsidRPr="0042503D">
        <w:rPr>
          <w:b/>
          <w:bCs/>
          <w:snapToGrid w:val="0"/>
          <w:szCs w:val="21"/>
          <w:lang w:val="fr"/>
        </w:rPr>
        <w:t>Le Dr Graham White explique l’incertitude de mesure (MU), son rôle dans le laboratoire clinique et les avantages qu’elle présente par rapport à l’utilisation de l’erreur totale.</w:t>
      </w:r>
    </w:p>
    <w:p w14:paraId="7B5979D6" w14:textId="77777777" w:rsidR="00724AE5" w:rsidRPr="0042503D" w:rsidRDefault="00AD4E2D" w:rsidP="00AD4E2D">
      <w:pPr>
        <w:pStyle w:val="Title"/>
        <w:spacing w:before="120" w:line="235" w:lineRule="auto"/>
        <w:rPr>
          <w:snapToGrid w:val="0"/>
          <w:sz w:val="28"/>
          <w:szCs w:val="28"/>
          <w:lang w:val="fr-FR"/>
        </w:rPr>
      </w:pPr>
      <w:r w:rsidRPr="0042503D">
        <w:rPr>
          <w:snapToGrid w:val="0"/>
          <w:sz w:val="28"/>
          <w:szCs w:val="28"/>
          <w:lang w:val="fr"/>
        </w:rPr>
        <w:t>Le Guide (presque) galactique de l’incertitude de mesure (MU) dans les laboratoires cliniques</w:t>
      </w:r>
    </w:p>
    <w:p w14:paraId="32A4000D" w14:textId="77777777" w:rsidR="00724AE5" w:rsidRPr="0042503D" w:rsidRDefault="00AD4E2D" w:rsidP="00AD4E2D">
      <w:pPr>
        <w:spacing w:before="120" w:line="235" w:lineRule="auto"/>
        <w:ind w:left="110"/>
        <w:rPr>
          <w:b/>
          <w:snapToGrid w:val="0"/>
          <w:szCs w:val="21"/>
          <w:lang w:val="fr-FR"/>
        </w:rPr>
      </w:pPr>
      <w:r w:rsidRPr="0042503D">
        <w:rPr>
          <w:b/>
          <w:bCs/>
          <w:snapToGrid w:val="0"/>
          <w:szCs w:val="21"/>
          <w:lang w:val="fr"/>
        </w:rPr>
        <w:t>Avril 2012</w:t>
      </w:r>
    </w:p>
    <w:p w14:paraId="58A2CF8F" w14:textId="77777777" w:rsidR="00724AE5" w:rsidRPr="0042503D" w:rsidRDefault="00AD4E2D" w:rsidP="00AD4E2D">
      <w:pPr>
        <w:spacing w:before="120" w:line="235" w:lineRule="auto"/>
        <w:ind w:left="110"/>
        <w:rPr>
          <w:b/>
          <w:snapToGrid w:val="0"/>
          <w:szCs w:val="21"/>
          <w:lang w:val="fr-FR"/>
        </w:rPr>
      </w:pPr>
      <w:r w:rsidRPr="0042503D">
        <w:rPr>
          <w:b/>
          <w:bCs/>
          <w:snapToGrid w:val="0"/>
          <w:szCs w:val="21"/>
          <w:lang w:val="fr"/>
        </w:rPr>
        <w:t>Graham White</w:t>
      </w:r>
    </w:p>
    <w:p w14:paraId="79017CCF" w14:textId="77777777" w:rsidR="00724AE5" w:rsidRPr="0042503D" w:rsidRDefault="00AD4E2D" w:rsidP="00AD4E2D">
      <w:pPr>
        <w:spacing w:before="16" w:line="235" w:lineRule="auto"/>
        <w:ind w:left="110" w:right="233"/>
        <w:rPr>
          <w:b/>
          <w:snapToGrid w:val="0"/>
          <w:szCs w:val="21"/>
          <w:lang w:val="fr-FR"/>
        </w:rPr>
      </w:pPr>
      <w:r w:rsidRPr="0042503D">
        <w:rPr>
          <w:b/>
          <w:bCs/>
          <w:snapToGrid w:val="0"/>
          <w:szCs w:val="21"/>
          <w:lang w:val="fr"/>
        </w:rPr>
        <w:t xml:space="preserve">SA </w:t>
      </w:r>
      <w:proofErr w:type="spellStart"/>
      <w:r w:rsidRPr="0042503D">
        <w:rPr>
          <w:b/>
          <w:bCs/>
          <w:snapToGrid w:val="0"/>
          <w:szCs w:val="21"/>
          <w:lang w:val="fr"/>
        </w:rPr>
        <w:t>Pathology</w:t>
      </w:r>
      <w:proofErr w:type="spellEnd"/>
      <w:r w:rsidRPr="0042503D">
        <w:rPr>
          <w:b/>
          <w:bCs/>
          <w:snapToGrid w:val="0"/>
          <w:szCs w:val="21"/>
          <w:lang w:val="fr"/>
        </w:rPr>
        <w:t xml:space="preserve">, Flinders </w:t>
      </w:r>
      <w:proofErr w:type="spellStart"/>
      <w:r w:rsidRPr="0042503D">
        <w:rPr>
          <w:b/>
          <w:bCs/>
          <w:snapToGrid w:val="0"/>
          <w:szCs w:val="21"/>
          <w:lang w:val="fr"/>
        </w:rPr>
        <w:t>Medical</w:t>
      </w:r>
      <w:proofErr w:type="spellEnd"/>
      <w:r w:rsidRPr="0042503D">
        <w:rPr>
          <w:b/>
          <w:bCs/>
          <w:snapToGrid w:val="0"/>
          <w:szCs w:val="21"/>
          <w:lang w:val="fr"/>
        </w:rPr>
        <w:t xml:space="preserve"> Centre, Bedford Park, Adélaïde, SA 5042, Australie</w:t>
      </w:r>
    </w:p>
    <w:p w14:paraId="491E0590" w14:textId="77777777" w:rsidR="00724AE5" w:rsidRPr="0042503D" w:rsidRDefault="00724AE5" w:rsidP="00AD4E2D">
      <w:pPr>
        <w:pStyle w:val="BodyText"/>
        <w:spacing w:line="235" w:lineRule="auto"/>
        <w:rPr>
          <w:snapToGrid w:val="0"/>
          <w:sz w:val="22"/>
          <w:szCs w:val="22"/>
          <w:lang w:val="fr-FR"/>
        </w:rPr>
      </w:pPr>
      <w:hyperlink r:id="rId8">
        <w:r w:rsidRPr="0042503D">
          <w:rPr>
            <w:snapToGrid w:val="0"/>
            <w:color w:val="0000FF"/>
            <w:sz w:val="22"/>
            <w:szCs w:val="22"/>
            <w:u w:val="single"/>
            <w:lang w:val="fr"/>
          </w:rPr>
          <w:t>Graham.White@health.sa.gov.au</w:t>
        </w:r>
      </w:hyperlink>
    </w:p>
    <w:p w14:paraId="1FC8429A" w14:textId="77777777" w:rsidR="0061054E" w:rsidRPr="0042503D" w:rsidRDefault="00AD4E2D" w:rsidP="00AD4E2D">
      <w:pPr>
        <w:pStyle w:val="BodyText"/>
        <w:numPr>
          <w:ilvl w:val="0"/>
          <w:numId w:val="4"/>
        </w:numPr>
        <w:tabs>
          <w:tab w:val="left" w:pos="686"/>
        </w:tabs>
        <w:spacing w:before="260" w:line="235" w:lineRule="auto"/>
        <w:ind w:hanging="403"/>
        <w:rPr>
          <w:snapToGrid w:val="0"/>
          <w:color w:val="0000FF"/>
          <w:sz w:val="22"/>
          <w:szCs w:val="22"/>
          <w:lang w:val="fr-FR"/>
        </w:rPr>
      </w:pPr>
      <w:r w:rsidRPr="0042503D">
        <w:rPr>
          <w:sz w:val="22"/>
          <w:szCs w:val="22"/>
          <w:lang w:val="fr"/>
        </w:rPr>
        <w:tab/>
      </w:r>
      <w:hyperlink w:anchor="_bookmark0" w:history="1">
        <w:r w:rsidR="0061054E" w:rsidRPr="0042503D">
          <w:rPr>
            <w:snapToGrid w:val="0"/>
            <w:color w:val="0000FF"/>
            <w:sz w:val="22"/>
            <w:szCs w:val="22"/>
            <w:u w:val="single"/>
            <w:lang w:val="fr"/>
          </w:rPr>
          <w:t>Quels types de mesures de laboratoire doivent faire appel à la MU ?</w:t>
        </w:r>
      </w:hyperlink>
    </w:p>
    <w:p w14:paraId="60AFC6E4" w14:textId="77777777" w:rsidR="0061054E" w:rsidRPr="0042503D" w:rsidRDefault="00AD4E2D" w:rsidP="00AD4E2D">
      <w:pPr>
        <w:pStyle w:val="BodyText"/>
        <w:numPr>
          <w:ilvl w:val="0"/>
          <w:numId w:val="4"/>
        </w:numPr>
        <w:tabs>
          <w:tab w:val="left" w:pos="686"/>
        </w:tabs>
        <w:spacing w:line="235" w:lineRule="auto"/>
        <w:ind w:right="2072" w:hanging="403"/>
        <w:rPr>
          <w:snapToGrid w:val="0"/>
          <w:color w:val="0000FF"/>
          <w:sz w:val="22"/>
          <w:szCs w:val="22"/>
          <w:lang w:val="fr-FR"/>
        </w:rPr>
      </w:pPr>
      <w:r w:rsidRPr="0042503D">
        <w:rPr>
          <w:sz w:val="22"/>
          <w:szCs w:val="22"/>
          <w:lang w:val="fr"/>
        </w:rPr>
        <w:tab/>
      </w:r>
      <w:hyperlink w:anchor="_bookmark0" w:history="1">
        <w:r w:rsidR="0061054E" w:rsidRPr="0042503D">
          <w:rPr>
            <w:snapToGrid w:val="0"/>
            <w:color w:val="0000FF"/>
            <w:sz w:val="22"/>
            <w:szCs w:val="22"/>
            <w:u w:val="single"/>
            <w:lang w:val="fr"/>
          </w:rPr>
          <w:t>Pourquoi la MU est-elle importante dans les laboratoires cliniques de routine ?</w:t>
        </w:r>
      </w:hyperlink>
    </w:p>
    <w:p w14:paraId="526DF477" w14:textId="77777777" w:rsidR="00724AE5" w:rsidRPr="0042503D" w:rsidRDefault="00AD4E2D" w:rsidP="00AD4E2D">
      <w:pPr>
        <w:pStyle w:val="BodyText"/>
        <w:numPr>
          <w:ilvl w:val="0"/>
          <w:numId w:val="4"/>
        </w:numPr>
        <w:tabs>
          <w:tab w:val="left" w:pos="686"/>
        </w:tabs>
        <w:spacing w:line="235" w:lineRule="auto"/>
        <w:ind w:hanging="403"/>
        <w:rPr>
          <w:snapToGrid w:val="0"/>
          <w:sz w:val="22"/>
          <w:szCs w:val="22"/>
          <w:lang w:val="fr-FR"/>
        </w:rPr>
      </w:pPr>
      <w:r w:rsidRPr="0042503D">
        <w:rPr>
          <w:sz w:val="22"/>
          <w:szCs w:val="22"/>
          <w:lang w:val="fr"/>
        </w:rPr>
        <w:tab/>
      </w:r>
      <w:hyperlink w:anchor="_bookmark0" w:history="1">
        <w:r w:rsidR="00724AE5" w:rsidRPr="0042503D">
          <w:rPr>
            <w:snapToGrid w:val="0"/>
            <w:color w:val="0000FF"/>
            <w:sz w:val="22"/>
            <w:szCs w:val="22"/>
            <w:u w:val="single"/>
            <w:lang w:val="fr"/>
          </w:rPr>
          <w:t>L’approche fondée sur l’erreur totale (TE) peut-elle être utile ?</w:t>
        </w:r>
      </w:hyperlink>
    </w:p>
    <w:p w14:paraId="5F4858B0" w14:textId="77777777" w:rsidR="0061054E" w:rsidRPr="0042503D" w:rsidRDefault="0061054E" w:rsidP="00AD4E2D">
      <w:pPr>
        <w:pStyle w:val="BodyText"/>
        <w:numPr>
          <w:ilvl w:val="0"/>
          <w:numId w:val="4"/>
        </w:numPr>
        <w:tabs>
          <w:tab w:val="left" w:pos="686"/>
        </w:tabs>
        <w:spacing w:line="235" w:lineRule="auto"/>
        <w:ind w:right="3545" w:hanging="403"/>
        <w:rPr>
          <w:snapToGrid w:val="0"/>
          <w:color w:val="0000FF"/>
          <w:sz w:val="22"/>
          <w:szCs w:val="22"/>
          <w:lang w:val="fr-FR"/>
        </w:rPr>
      </w:pPr>
      <w:hyperlink w:anchor="_bookmark0" w:history="1">
        <w:r w:rsidRPr="0042503D">
          <w:rPr>
            <w:snapToGrid w:val="0"/>
            <w:color w:val="0000FF"/>
            <w:sz w:val="22"/>
            <w:szCs w:val="22"/>
            <w:u w:val="single"/>
            <w:lang w:val="fr"/>
          </w:rPr>
          <w:t>Limites du concept d’erreur totale (TE)</w:t>
        </w:r>
      </w:hyperlink>
    </w:p>
    <w:p w14:paraId="757F4182" w14:textId="77777777" w:rsidR="00724AE5" w:rsidRPr="0042503D" w:rsidRDefault="00724AE5" w:rsidP="00AD4E2D">
      <w:pPr>
        <w:pStyle w:val="BodyText"/>
        <w:numPr>
          <w:ilvl w:val="0"/>
          <w:numId w:val="4"/>
        </w:numPr>
        <w:tabs>
          <w:tab w:val="left" w:pos="686"/>
        </w:tabs>
        <w:spacing w:line="235" w:lineRule="auto"/>
        <w:ind w:right="3545" w:hanging="403"/>
        <w:rPr>
          <w:snapToGrid w:val="0"/>
          <w:sz w:val="22"/>
          <w:szCs w:val="22"/>
          <w:lang w:val="fr-FR"/>
        </w:rPr>
      </w:pPr>
      <w:hyperlink w:anchor="_bookmark0" w:history="1">
        <w:r w:rsidRPr="0042503D">
          <w:rPr>
            <w:snapToGrid w:val="0"/>
            <w:color w:val="0000FF"/>
            <w:sz w:val="22"/>
            <w:szCs w:val="22"/>
            <w:u w:val="single"/>
            <w:lang w:val="fr"/>
          </w:rPr>
          <w:t>Qu’est-ce que l’incertitude de mesure (MU) ?</w:t>
        </w:r>
      </w:hyperlink>
    </w:p>
    <w:p w14:paraId="2E0115CF" w14:textId="77777777" w:rsidR="00724AE5" w:rsidRPr="0042503D" w:rsidRDefault="00724AE5" w:rsidP="00AD4E2D">
      <w:pPr>
        <w:pStyle w:val="BodyText"/>
        <w:numPr>
          <w:ilvl w:val="0"/>
          <w:numId w:val="4"/>
        </w:numPr>
        <w:tabs>
          <w:tab w:val="left" w:pos="686"/>
        </w:tabs>
        <w:spacing w:line="235" w:lineRule="auto"/>
        <w:ind w:hanging="403"/>
        <w:rPr>
          <w:snapToGrid w:val="0"/>
          <w:sz w:val="22"/>
          <w:szCs w:val="22"/>
        </w:rPr>
      </w:pPr>
      <w:hyperlink w:anchor="_bookmark0" w:history="1">
        <w:r w:rsidRPr="0042503D">
          <w:rPr>
            <w:snapToGrid w:val="0"/>
            <w:color w:val="0000FF"/>
            <w:sz w:val="22"/>
            <w:szCs w:val="22"/>
            <w:u w:val="single"/>
            <w:lang w:val="fr"/>
          </w:rPr>
          <w:t>Que comprend la MU ?</w:t>
        </w:r>
      </w:hyperlink>
    </w:p>
    <w:p w14:paraId="7AAE6A28" w14:textId="77777777" w:rsidR="0061054E" w:rsidRPr="0042503D" w:rsidRDefault="0061054E" w:rsidP="00AD4E2D">
      <w:pPr>
        <w:pStyle w:val="BodyText"/>
        <w:numPr>
          <w:ilvl w:val="0"/>
          <w:numId w:val="4"/>
        </w:numPr>
        <w:tabs>
          <w:tab w:val="left" w:pos="686"/>
        </w:tabs>
        <w:spacing w:line="235" w:lineRule="auto"/>
        <w:ind w:right="3600" w:hanging="403"/>
        <w:rPr>
          <w:snapToGrid w:val="0"/>
          <w:color w:val="0000FF"/>
          <w:sz w:val="22"/>
          <w:szCs w:val="22"/>
          <w:lang w:val="fr-FR"/>
        </w:rPr>
      </w:pPr>
      <w:hyperlink w:anchor="_bookmark0" w:history="1">
        <w:r w:rsidRPr="0042503D">
          <w:rPr>
            <w:snapToGrid w:val="0"/>
            <w:color w:val="0000FF"/>
            <w:sz w:val="22"/>
            <w:szCs w:val="22"/>
            <w:u w:val="single"/>
            <w:lang w:val="fr"/>
          </w:rPr>
          <w:t>Comment la MU prend-elle en compte les biais ?</w:t>
        </w:r>
      </w:hyperlink>
    </w:p>
    <w:p w14:paraId="102B7712" w14:textId="77777777" w:rsidR="00724AE5" w:rsidRPr="0042503D" w:rsidRDefault="00724AE5" w:rsidP="00AD4E2D">
      <w:pPr>
        <w:pStyle w:val="BodyText"/>
        <w:numPr>
          <w:ilvl w:val="0"/>
          <w:numId w:val="4"/>
        </w:numPr>
        <w:tabs>
          <w:tab w:val="left" w:pos="686"/>
        </w:tabs>
        <w:spacing w:line="235" w:lineRule="auto"/>
        <w:ind w:right="5472" w:hanging="403"/>
        <w:rPr>
          <w:snapToGrid w:val="0"/>
          <w:sz w:val="22"/>
          <w:szCs w:val="22"/>
          <w:lang w:val="fr-FR"/>
        </w:rPr>
      </w:pPr>
      <w:hyperlink w:anchor="_bookmark0" w:history="1">
        <w:r w:rsidRPr="0042503D">
          <w:rPr>
            <w:snapToGrid w:val="0"/>
            <w:color w:val="0000FF"/>
            <w:sz w:val="22"/>
            <w:szCs w:val="22"/>
            <w:u w:val="single"/>
            <w:lang w:val="fr"/>
          </w:rPr>
          <w:t>Comment la MU est-elle estimée ?</w:t>
        </w:r>
      </w:hyperlink>
    </w:p>
    <w:p w14:paraId="6E83AECD" w14:textId="77777777" w:rsidR="00724AE5" w:rsidRPr="0042503D" w:rsidRDefault="00724AE5" w:rsidP="00AD4E2D">
      <w:pPr>
        <w:pStyle w:val="BodyText"/>
        <w:numPr>
          <w:ilvl w:val="0"/>
          <w:numId w:val="4"/>
        </w:numPr>
        <w:tabs>
          <w:tab w:val="left" w:pos="686"/>
        </w:tabs>
        <w:spacing w:line="235" w:lineRule="auto"/>
        <w:ind w:hanging="403"/>
        <w:rPr>
          <w:snapToGrid w:val="0"/>
          <w:sz w:val="22"/>
          <w:szCs w:val="22"/>
          <w:lang w:val="fr-FR"/>
        </w:rPr>
      </w:pPr>
      <w:hyperlink w:anchor="_bookmark0" w:history="1">
        <w:r w:rsidRPr="0042503D">
          <w:rPr>
            <w:snapToGrid w:val="0"/>
            <w:color w:val="0000FF"/>
            <w:sz w:val="22"/>
            <w:szCs w:val="22"/>
            <w:u w:val="single"/>
            <w:lang w:val="fr"/>
          </w:rPr>
          <w:t>Que faire si le biais est jugé significatif ?</w:t>
        </w:r>
      </w:hyperlink>
    </w:p>
    <w:p w14:paraId="4CD5D054" w14:textId="77777777" w:rsidR="00724AE5" w:rsidRPr="0042503D" w:rsidRDefault="00724AE5" w:rsidP="00AD4E2D">
      <w:pPr>
        <w:pStyle w:val="BodyText"/>
        <w:numPr>
          <w:ilvl w:val="0"/>
          <w:numId w:val="4"/>
        </w:numPr>
        <w:tabs>
          <w:tab w:val="left" w:pos="686"/>
        </w:tabs>
        <w:spacing w:line="235" w:lineRule="auto"/>
        <w:ind w:right="809" w:hanging="403"/>
        <w:rPr>
          <w:snapToGrid w:val="0"/>
          <w:sz w:val="22"/>
          <w:szCs w:val="22"/>
          <w:lang w:val="fr-FR"/>
        </w:rPr>
      </w:pPr>
      <w:hyperlink w:anchor="_bookmark0" w:history="1">
        <w:r w:rsidRPr="0042503D">
          <w:rPr>
            <w:snapToGrid w:val="0"/>
            <w:color w:val="0000FF"/>
            <w:sz w:val="22"/>
            <w:szCs w:val="22"/>
            <w:u w:val="single"/>
            <w:lang w:val="fr"/>
          </w:rPr>
          <w:t>Comment calculer la MU pour un résultat estimé à partir de plusieurs</w:t>
        </w:r>
      </w:hyperlink>
      <w:r w:rsidRPr="0042503D">
        <w:rPr>
          <w:snapToGrid w:val="0"/>
          <w:color w:val="0000FF"/>
          <w:sz w:val="22"/>
          <w:szCs w:val="22"/>
          <w:u w:val="single"/>
          <w:lang w:val="fr"/>
        </w:rPr>
        <w:t xml:space="preserve"> </w:t>
      </w:r>
      <w:hyperlink w:anchor="_bookmark0" w:history="1">
        <w:r w:rsidRPr="0042503D">
          <w:rPr>
            <w:snapToGrid w:val="0"/>
            <w:color w:val="0000FF"/>
            <w:sz w:val="22"/>
            <w:szCs w:val="22"/>
            <w:u w:val="single"/>
            <w:lang w:val="fr"/>
          </w:rPr>
          <w:t>autres résultats ?</w:t>
        </w:r>
      </w:hyperlink>
    </w:p>
    <w:p w14:paraId="41A6090C" w14:textId="77777777" w:rsidR="0061054E" w:rsidRPr="0042503D" w:rsidRDefault="0061054E" w:rsidP="00AD4E2D">
      <w:pPr>
        <w:pStyle w:val="BodyText"/>
        <w:numPr>
          <w:ilvl w:val="0"/>
          <w:numId w:val="4"/>
        </w:numPr>
        <w:tabs>
          <w:tab w:val="left" w:pos="686"/>
        </w:tabs>
        <w:spacing w:line="235" w:lineRule="auto"/>
        <w:ind w:right="1440" w:hanging="403"/>
        <w:rPr>
          <w:snapToGrid w:val="0"/>
          <w:color w:val="0000FF"/>
          <w:sz w:val="22"/>
          <w:szCs w:val="22"/>
          <w:lang w:val="fr-FR"/>
        </w:rPr>
      </w:pPr>
      <w:hyperlink w:anchor="_bookmark0" w:history="1">
        <w:r w:rsidRPr="0042503D">
          <w:rPr>
            <w:snapToGrid w:val="0"/>
            <w:color w:val="0000FF"/>
            <w:sz w:val="22"/>
            <w:szCs w:val="22"/>
            <w:u w:val="single"/>
            <w:lang w:val="fr"/>
          </w:rPr>
          <w:t>Comment les estimations de la MU doivent-elles être évaluées ?</w:t>
        </w:r>
      </w:hyperlink>
    </w:p>
    <w:p w14:paraId="19B5E5BB" w14:textId="77777777" w:rsidR="00724AE5" w:rsidRPr="0042503D" w:rsidRDefault="00724AE5" w:rsidP="00AD4E2D">
      <w:pPr>
        <w:pStyle w:val="BodyText"/>
        <w:numPr>
          <w:ilvl w:val="0"/>
          <w:numId w:val="4"/>
        </w:numPr>
        <w:tabs>
          <w:tab w:val="left" w:pos="686"/>
        </w:tabs>
        <w:spacing w:line="235" w:lineRule="auto"/>
        <w:ind w:right="4553" w:hanging="403"/>
        <w:rPr>
          <w:snapToGrid w:val="0"/>
          <w:sz w:val="22"/>
          <w:szCs w:val="22"/>
        </w:rPr>
      </w:pPr>
      <w:hyperlink w:anchor="_bookmark0" w:history="1">
        <w:r w:rsidRPr="0042503D">
          <w:rPr>
            <w:snapToGrid w:val="0"/>
            <w:color w:val="0000FF"/>
            <w:sz w:val="22"/>
            <w:szCs w:val="22"/>
            <w:u w:val="single"/>
            <w:lang w:val="fr"/>
          </w:rPr>
          <w:t>Résumé</w:t>
        </w:r>
      </w:hyperlink>
    </w:p>
    <w:p w14:paraId="723AFEA3" w14:textId="77777777" w:rsidR="0061054E" w:rsidRPr="0042503D" w:rsidRDefault="0061054E" w:rsidP="00AD4E2D">
      <w:pPr>
        <w:pStyle w:val="BodyText"/>
        <w:numPr>
          <w:ilvl w:val="0"/>
          <w:numId w:val="4"/>
        </w:numPr>
        <w:tabs>
          <w:tab w:val="left" w:pos="686"/>
        </w:tabs>
        <w:spacing w:line="235" w:lineRule="auto"/>
        <w:ind w:hanging="403"/>
        <w:rPr>
          <w:snapToGrid w:val="0"/>
          <w:color w:val="0000FF"/>
          <w:sz w:val="22"/>
          <w:szCs w:val="22"/>
          <w:lang w:val="fr-FR"/>
        </w:rPr>
      </w:pPr>
      <w:hyperlink w:anchor="_bookmark0" w:history="1">
        <w:r w:rsidRPr="0042503D">
          <w:rPr>
            <w:snapToGrid w:val="0"/>
            <w:color w:val="0000FF"/>
            <w:sz w:val="22"/>
            <w:szCs w:val="22"/>
            <w:u w:val="single"/>
            <w:lang w:val="fr"/>
          </w:rPr>
          <w:t>La MU doit-elle être systématiquement communiquée aux cliniciens ?</w:t>
        </w:r>
      </w:hyperlink>
    </w:p>
    <w:p w14:paraId="5C47ACE6" w14:textId="77777777" w:rsidR="00E63D56" w:rsidRPr="0042503D" w:rsidRDefault="00E63D56" w:rsidP="00AD4E2D">
      <w:pPr>
        <w:pStyle w:val="BodyText"/>
        <w:numPr>
          <w:ilvl w:val="0"/>
          <w:numId w:val="4"/>
        </w:numPr>
        <w:tabs>
          <w:tab w:val="left" w:pos="686"/>
        </w:tabs>
        <w:spacing w:line="235" w:lineRule="auto"/>
        <w:ind w:right="3113" w:hanging="403"/>
        <w:rPr>
          <w:snapToGrid w:val="0"/>
          <w:sz w:val="22"/>
          <w:szCs w:val="22"/>
        </w:rPr>
      </w:pPr>
      <w:hyperlink w:anchor="_bookmark0" w:history="1">
        <w:r w:rsidRPr="0042503D">
          <w:rPr>
            <w:snapToGrid w:val="0"/>
            <w:color w:val="0000FF"/>
            <w:sz w:val="22"/>
            <w:szCs w:val="22"/>
            <w:u w:val="single"/>
            <w:lang w:val="fr"/>
          </w:rPr>
          <w:t>Résumé</w:t>
        </w:r>
        <w:r w:rsidRPr="0042503D">
          <w:rPr>
            <w:snapToGrid w:val="0"/>
            <w:color w:val="0000FF"/>
            <w:sz w:val="22"/>
            <w:szCs w:val="22"/>
            <w:lang w:val="fr"/>
          </w:rPr>
          <w:t xml:space="preserve"> — </w:t>
        </w:r>
        <w:r w:rsidRPr="0042503D">
          <w:rPr>
            <w:snapToGrid w:val="0"/>
            <w:color w:val="0000FF"/>
            <w:sz w:val="22"/>
            <w:szCs w:val="22"/>
            <w:u w:val="single"/>
            <w:lang w:val="fr"/>
          </w:rPr>
          <w:t>MU et TE</w:t>
        </w:r>
      </w:hyperlink>
    </w:p>
    <w:p w14:paraId="44C0CCCB" w14:textId="77777777" w:rsidR="00724AE5" w:rsidRPr="0042503D" w:rsidRDefault="00724AE5" w:rsidP="00AD4E2D">
      <w:pPr>
        <w:pStyle w:val="BodyText"/>
        <w:numPr>
          <w:ilvl w:val="0"/>
          <w:numId w:val="4"/>
        </w:numPr>
        <w:tabs>
          <w:tab w:val="left" w:pos="686"/>
        </w:tabs>
        <w:spacing w:line="235" w:lineRule="auto"/>
        <w:ind w:right="3113" w:hanging="403"/>
        <w:rPr>
          <w:snapToGrid w:val="0"/>
          <w:sz w:val="22"/>
          <w:szCs w:val="22"/>
        </w:rPr>
      </w:pPr>
      <w:hyperlink w:anchor="_bookmark0" w:history="1">
        <w:r w:rsidRPr="0042503D">
          <w:rPr>
            <w:snapToGrid w:val="0"/>
            <w:color w:val="0000FF"/>
            <w:sz w:val="22"/>
            <w:szCs w:val="22"/>
            <w:u w:val="single"/>
            <w:lang w:val="fr"/>
          </w:rPr>
          <w:t>Références</w:t>
        </w:r>
      </w:hyperlink>
    </w:p>
    <w:p w14:paraId="337D6E66" w14:textId="77777777" w:rsidR="00724AE5" w:rsidRPr="0042503D" w:rsidRDefault="00AD4E2D" w:rsidP="00AD4E2D">
      <w:pPr>
        <w:pStyle w:val="BodyText"/>
        <w:spacing w:before="240" w:line="235" w:lineRule="auto"/>
        <w:ind w:right="1097"/>
        <w:rPr>
          <w:snapToGrid w:val="0"/>
          <w:sz w:val="22"/>
          <w:szCs w:val="22"/>
          <w:lang w:val="fr-FR"/>
        </w:rPr>
      </w:pPr>
      <w:r w:rsidRPr="0042503D">
        <w:rPr>
          <w:snapToGrid w:val="0"/>
          <w:sz w:val="22"/>
          <w:szCs w:val="22"/>
          <w:lang w:val="fr"/>
        </w:rPr>
        <w:t>Je suis reconnaissant de l’invitation à poursuivre la discussion sur l’incertitude de mesure, pour faire suite au récent article de James Westgard concernant la directive CLSI (Clinical and Laboratory Standards Institute) sur l’expression de la MU en biologie médicale. Un auto-stoppeur aime que les choses soient simples, il souhaite disposer d’une carte facile à comprendre et atteindre sa destination sans trop d’encombres. L’objectif de cet auto-stoppeur est de montrer aux laborantins, brièvement et sans jargon inutile ni formalisme statistique, que la MU est logique, facile à comprendre, utile et approprié à mettre en œuvre dans les laboratoires de biologie médicale [</w:t>
      </w:r>
      <w:hyperlink w:anchor="_bookmark0" w:history="1">
        <w:r w:rsidR="00724AE5" w:rsidRPr="0042503D">
          <w:rPr>
            <w:snapToGrid w:val="0"/>
            <w:color w:val="0000FF"/>
            <w:sz w:val="22"/>
            <w:szCs w:val="22"/>
            <w:u w:val="single"/>
            <w:lang w:val="fr"/>
          </w:rPr>
          <w:t>1,2</w:t>
        </w:r>
      </w:hyperlink>
      <w:r w:rsidRPr="0042503D">
        <w:rPr>
          <w:snapToGrid w:val="0"/>
          <w:sz w:val="22"/>
          <w:szCs w:val="22"/>
          <w:lang w:val="fr"/>
        </w:rPr>
        <w:t>].</w:t>
      </w:r>
    </w:p>
    <w:p w14:paraId="6E01130C" w14:textId="77777777" w:rsidR="00724AE5" w:rsidRPr="0042503D" w:rsidRDefault="00AD4E2D" w:rsidP="00AD4E2D">
      <w:pPr>
        <w:pStyle w:val="Heading1"/>
        <w:spacing w:before="280" w:line="235" w:lineRule="auto"/>
        <w:rPr>
          <w:snapToGrid w:val="0"/>
          <w:lang w:val="fr-FR"/>
        </w:rPr>
      </w:pPr>
      <w:r>
        <w:rPr>
          <w:snapToGrid w:val="0"/>
          <w:lang w:val="fr"/>
        </w:rPr>
        <w:t>Quels types de mesures de laboratoire doivent faire appel à la MU ?</w:t>
      </w:r>
    </w:p>
    <w:p w14:paraId="3A44A4F4" w14:textId="77777777" w:rsidR="00724AE5" w:rsidRPr="0042503D" w:rsidRDefault="00AD4E2D" w:rsidP="00AD4E2D">
      <w:pPr>
        <w:pStyle w:val="BodyText"/>
        <w:spacing w:before="304" w:line="235" w:lineRule="auto"/>
        <w:ind w:right="233"/>
        <w:rPr>
          <w:snapToGrid w:val="0"/>
          <w:sz w:val="22"/>
          <w:szCs w:val="22"/>
          <w:lang w:val="fr-FR"/>
        </w:rPr>
      </w:pPr>
      <w:r w:rsidRPr="0042503D">
        <w:rPr>
          <w:snapToGrid w:val="0"/>
          <w:sz w:val="22"/>
          <w:szCs w:val="22"/>
          <w:lang w:val="fr"/>
        </w:rPr>
        <w:t>Toutes les mesures dont la grandeur est exprimée par une valeur numérique (par exemple 4,6, 1 x 10</w:t>
      </w:r>
      <w:r w:rsidRPr="0042503D">
        <w:rPr>
          <w:snapToGrid w:val="0"/>
          <w:sz w:val="22"/>
          <w:szCs w:val="22"/>
          <w:vertAlign w:val="superscript"/>
          <w:lang w:val="fr"/>
        </w:rPr>
        <w:t>-9</w:t>
      </w:r>
      <w:r w:rsidRPr="0042503D">
        <w:rPr>
          <w:snapToGrid w:val="0"/>
          <w:sz w:val="22"/>
          <w:szCs w:val="22"/>
          <w:lang w:val="fr"/>
        </w:rPr>
        <w:t>) accompagnée d’une unité de mesure (par exemple mmol/L, grandeur de dimension un), et en rapport par exemple avec : la concentration de calcium plasmatique, le nombre de leucocytes (globules blancs), ou le nombre de répétitions de nucléotides CAG d’un gène.</w:t>
      </w:r>
    </w:p>
    <w:p w14:paraId="7678E633" w14:textId="77777777" w:rsidR="0061054E" w:rsidRPr="0042503D" w:rsidRDefault="0061054E" w:rsidP="00AD4E2D">
      <w:pPr>
        <w:spacing w:line="235" w:lineRule="auto"/>
        <w:rPr>
          <w:b/>
          <w:bCs/>
          <w:snapToGrid w:val="0"/>
          <w:sz w:val="28"/>
          <w:szCs w:val="28"/>
          <w:lang w:val="fr-FR"/>
        </w:rPr>
      </w:pPr>
      <w:r>
        <w:rPr>
          <w:snapToGrid w:val="0"/>
          <w:lang w:val="fr"/>
        </w:rPr>
        <w:br w:type="page"/>
      </w:r>
    </w:p>
    <w:p w14:paraId="17243043" w14:textId="77777777" w:rsidR="00724AE5" w:rsidRPr="0042503D" w:rsidRDefault="00AD4E2D" w:rsidP="00AD4E2D">
      <w:pPr>
        <w:pStyle w:val="Heading1"/>
        <w:spacing w:line="228" w:lineRule="auto"/>
        <w:rPr>
          <w:snapToGrid w:val="0"/>
          <w:lang w:val="fr-FR"/>
        </w:rPr>
      </w:pPr>
      <w:r>
        <w:rPr>
          <w:snapToGrid w:val="0"/>
          <w:lang w:val="fr"/>
        </w:rPr>
        <w:lastRenderedPageBreak/>
        <w:t>Pourquoi la MU est-elle importante dans les laboratoires cliniques de routine ?</w:t>
      </w:r>
    </w:p>
    <w:p w14:paraId="625C2605" w14:textId="77777777" w:rsidR="00724AE5" w:rsidRPr="0042503D" w:rsidRDefault="00AD4E2D" w:rsidP="00AD4E2D">
      <w:pPr>
        <w:pStyle w:val="BodyText"/>
        <w:spacing w:before="240" w:line="228" w:lineRule="auto"/>
        <w:ind w:right="233"/>
        <w:rPr>
          <w:snapToGrid w:val="0"/>
          <w:sz w:val="22"/>
          <w:szCs w:val="22"/>
          <w:lang w:val="fr-FR"/>
        </w:rPr>
      </w:pPr>
      <w:r w:rsidRPr="0042503D">
        <w:rPr>
          <w:snapToGrid w:val="0"/>
          <w:sz w:val="22"/>
          <w:szCs w:val="22"/>
          <w:lang w:val="fr"/>
        </w:rPr>
        <w:t>Les cliniciens comparent la plupart des résultats d’analyse à des valeurs de référence ainsi qu’aux résultats antérieurs du même patient. Les résultats devraient donc être fiables et précis, mais dans la pratique, ils comportent des erreurs. Lors de la vérification des caractéristiques de performance d’une méthode de mesure de routine, on effectue généralement des essais de répétabilité, c’est-à-dire des mesures répétées sur un même échantillon et dans des conditions maintenues aussi constantes que possible. Si le système de mesure est suffisamment sensible, une dispersion des valeurs sera généralement obtenue. Quel est le véritable résultat pour l’échantillon ? Il est évidemment impossible de le déterminer avec certitude, mais il est clair que les résultats comportent une certaine erreur, et que l’ampleur de cette erreur varie d’un résultat à l’autre. Il en résulte une incertitude quant à la valeur réelle. Une dispersion similaire des valeurs est également observée si un échantillon de patient est mesuré de manière répétée dans des conditions identiques.</w:t>
      </w:r>
    </w:p>
    <w:p w14:paraId="042B8A0D" w14:textId="77777777" w:rsidR="00724AE5" w:rsidRPr="0042503D" w:rsidRDefault="00AD4E2D" w:rsidP="00AD4E2D">
      <w:pPr>
        <w:pStyle w:val="BodyText"/>
        <w:spacing w:before="240" w:line="228" w:lineRule="auto"/>
        <w:ind w:right="238"/>
        <w:rPr>
          <w:snapToGrid w:val="0"/>
          <w:sz w:val="22"/>
          <w:szCs w:val="22"/>
          <w:lang w:val="fr-FR"/>
        </w:rPr>
      </w:pPr>
      <w:r w:rsidRPr="0042503D">
        <w:rPr>
          <w:snapToGrid w:val="0"/>
          <w:sz w:val="22"/>
          <w:szCs w:val="22"/>
          <w:lang w:val="fr"/>
        </w:rPr>
        <w:t>Imaginons qu’un compte-rendu patient affiche des résultats sériques de rhubarbe pour deux échantillons prélevés à une semaine d’intervalle, à 3,1 mmol/L et 3,3 mmol/L ; alors que la valeur de référence supérieure est : 3,0 mmol/L. Le clinicien interroge le laboratoire : Le premier résultat est-il vraiment supérieur à la valeur de référence et le second est-il réellement plus élevé que le premier ? Le laboratoire ne peut pas répondre à ces questions sans disposer de connaissance quantitative de l’incertitude de mesure associée à chacun de ces résultats.</w:t>
      </w:r>
    </w:p>
    <w:p w14:paraId="155BCE58" w14:textId="77777777" w:rsidR="00724AE5" w:rsidRPr="0042503D" w:rsidRDefault="00AD4E2D" w:rsidP="00AD4E2D">
      <w:pPr>
        <w:pStyle w:val="Heading1"/>
        <w:spacing w:before="300" w:line="228" w:lineRule="auto"/>
        <w:rPr>
          <w:snapToGrid w:val="0"/>
          <w:lang w:val="fr-FR"/>
        </w:rPr>
      </w:pPr>
      <w:r>
        <w:rPr>
          <w:snapToGrid w:val="0"/>
          <w:lang w:val="fr"/>
        </w:rPr>
        <w:t>L’approche fondée sur l’erreur totale (TE) peut-elle être utile ?</w:t>
      </w:r>
    </w:p>
    <w:p w14:paraId="7E07D397" w14:textId="77777777" w:rsidR="00724AE5" w:rsidRPr="0042503D" w:rsidRDefault="00AD4E2D" w:rsidP="00AD4E2D">
      <w:pPr>
        <w:pStyle w:val="BodyText"/>
        <w:spacing w:before="240" w:line="228" w:lineRule="auto"/>
        <w:ind w:right="521"/>
        <w:rPr>
          <w:snapToGrid w:val="0"/>
          <w:sz w:val="22"/>
          <w:szCs w:val="22"/>
          <w:lang w:val="fr-FR"/>
        </w:rPr>
      </w:pPr>
      <w:r w:rsidRPr="0042503D">
        <w:rPr>
          <w:snapToGrid w:val="0"/>
          <w:sz w:val="22"/>
          <w:szCs w:val="22"/>
          <w:lang w:val="fr"/>
        </w:rPr>
        <w:t>L’approche par la TE considère que l’erreur de mesure totale se compose de deux éléments : l’erreur systématique (Biais) et l’erreur aléatoire (Imprécision). Le biais correspond à un écart prévisible entre les résultats et une valeur de référence. Il est généralement estimé comme la différence entre une valeur de référence et la moyenne des résultats obtenus lorsqu’on mesure cette référence en séries répétées à l’aide de la procédure de mesure de routine. La valeur de référence utilisée peut être, par exemple, celle d’un matériau de référence certifié, ou bien la moyenne d’un groupe de pairs dans le cadre d’un EQA (programme d’évaluation externe de la qualité). Le biais a donc une valeur qui peut être utilisée pour éliminer ou minimiser cet écart, par exemple, par une récalibration ou par l’ajustement des résultats bruts au moyen d’un facteur de correction.</w:t>
      </w:r>
    </w:p>
    <w:p w14:paraId="0D4D4EF4" w14:textId="77777777" w:rsidR="00724AE5" w:rsidRPr="0042503D" w:rsidRDefault="00AD4E2D" w:rsidP="00AD4E2D">
      <w:pPr>
        <w:pStyle w:val="BodyText"/>
        <w:widowControl/>
        <w:spacing w:before="240" w:line="228" w:lineRule="auto"/>
        <w:ind w:left="115" w:right="230"/>
        <w:rPr>
          <w:snapToGrid w:val="0"/>
          <w:sz w:val="22"/>
          <w:szCs w:val="22"/>
          <w:lang w:val="fr-FR"/>
        </w:rPr>
      </w:pPr>
      <w:r w:rsidRPr="0042503D">
        <w:rPr>
          <w:snapToGrid w:val="0"/>
          <w:sz w:val="22"/>
          <w:szCs w:val="22"/>
          <w:lang w:val="fr"/>
        </w:rPr>
        <w:t xml:space="preserve">L’ampleur de l’imprécision est, quant à elle, imprévisible pour chaque résultat de mesure produit par un dosage, en raison de facteurs tels que les fluctuations du fonctionnement électromécanique, les variations de lots de réactifs ou de calibrateurs, les changements d’opérateurs ou encore la maintenance de routine des instruments. L’imprécision est habituellement estimée par la mesure de matériaux de contrôle qualité au cours de différentes analyses, réparties sur une durée suffisante pour inclure autant que possible de ces variations de routine. La dispersion des résultats obtenus dans le temps pour un même lot de contrôle qualité est considérée comme approximativement gaussienne (distribution normale), ce qui permet de quantifier statistiquement cette dispersion sous forme d’un écart-type par rapport à la valeur moyenne. Les laboratoires font généralement l’hypothèse, qui n’est pas toujours exacte, que les échantillons de patients se </w:t>
      </w:r>
      <w:r w:rsidRPr="0042503D">
        <w:rPr>
          <w:snapToGrid w:val="0"/>
          <w:sz w:val="22"/>
          <w:szCs w:val="22"/>
          <w:lang w:val="fr"/>
        </w:rPr>
        <w:lastRenderedPageBreak/>
        <w:t>comportent de la même manière que les échantillons de contrôle qualité (CQ) dans un système de mesure donné. Par conséquent, on s’attend à ce que la dispersion des valeurs soit similaire si l’échantillon d’un patient était mesuré de façon répétée, c’est-à-dire qu’il présenterait une imprécision similaire.</w:t>
      </w:r>
    </w:p>
    <w:p w14:paraId="69DAAD4C" w14:textId="77777777" w:rsidR="00724AE5" w:rsidRPr="0042503D" w:rsidRDefault="00AD4E2D" w:rsidP="00AD4E2D">
      <w:pPr>
        <w:pStyle w:val="BodyText"/>
        <w:spacing w:before="360" w:line="228" w:lineRule="auto"/>
        <w:ind w:right="238"/>
        <w:rPr>
          <w:snapToGrid w:val="0"/>
          <w:sz w:val="22"/>
          <w:szCs w:val="22"/>
          <w:lang w:val="fr-FR"/>
        </w:rPr>
      </w:pPr>
      <w:r w:rsidRPr="0042503D">
        <w:rPr>
          <w:snapToGrid w:val="0"/>
          <w:sz w:val="22"/>
          <w:szCs w:val="22"/>
          <w:lang w:val="fr"/>
        </w:rPr>
        <w:t>Le concept d’erreur totale décrit ainsi l’erreur totale d’un système de mesure selon la formule suivante : TE = Biais + écart-type 1,65, où écart-type 1,65 représente environ 95 % de la dispersion des résultats sur un côté de la courbe gaussienne liée à l’imprécision.</w:t>
      </w:r>
    </w:p>
    <w:p w14:paraId="05372177" w14:textId="77777777" w:rsidR="00724AE5" w:rsidRPr="0042503D" w:rsidRDefault="00AD4E2D" w:rsidP="00AD4E2D">
      <w:pPr>
        <w:pStyle w:val="Heading1"/>
        <w:spacing w:before="240" w:line="228" w:lineRule="auto"/>
        <w:rPr>
          <w:snapToGrid w:val="0"/>
          <w:lang w:val="fr-FR"/>
        </w:rPr>
      </w:pPr>
      <w:r>
        <w:rPr>
          <w:snapToGrid w:val="0"/>
          <w:lang w:val="fr"/>
        </w:rPr>
        <w:t>Limites du concept d’erreur totale (TE)</w:t>
      </w:r>
    </w:p>
    <w:p w14:paraId="2F0B9871" w14:textId="77777777" w:rsidR="00724AE5" w:rsidRPr="0042503D" w:rsidRDefault="00AD4E2D" w:rsidP="00AD4E2D">
      <w:pPr>
        <w:pStyle w:val="BodyText"/>
        <w:spacing w:before="240" w:line="228" w:lineRule="auto"/>
        <w:ind w:right="233"/>
        <w:rPr>
          <w:snapToGrid w:val="0"/>
          <w:sz w:val="22"/>
          <w:szCs w:val="22"/>
          <w:lang w:val="fr-FR"/>
        </w:rPr>
      </w:pPr>
      <w:r w:rsidRPr="0042503D">
        <w:rPr>
          <w:snapToGrid w:val="0"/>
          <w:sz w:val="22"/>
          <w:szCs w:val="22"/>
          <w:lang w:val="fr"/>
        </w:rPr>
        <w:t>L’approche fondée sur l’erreur totale présente plusieurs limites lorsqu’elle est appliquée à des résultats individuels :</w:t>
      </w:r>
    </w:p>
    <w:p w14:paraId="6AE3E218" w14:textId="77777777" w:rsidR="00724AE5" w:rsidRPr="0042503D" w:rsidRDefault="00AD4E2D" w:rsidP="00AD4E2D">
      <w:pPr>
        <w:pStyle w:val="ListParagraph"/>
        <w:numPr>
          <w:ilvl w:val="0"/>
          <w:numId w:val="2"/>
        </w:numPr>
        <w:tabs>
          <w:tab w:val="left" w:pos="541"/>
        </w:tabs>
        <w:spacing w:before="240" w:line="228" w:lineRule="auto"/>
        <w:ind w:right="233" w:firstLine="0"/>
        <w:rPr>
          <w:snapToGrid w:val="0"/>
          <w:szCs w:val="21"/>
          <w:lang w:val="fr-FR"/>
        </w:rPr>
      </w:pPr>
      <w:r w:rsidRPr="0042503D">
        <w:rPr>
          <w:snapToGrid w:val="0"/>
          <w:szCs w:val="21"/>
          <w:lang w:val="fr"/>
        </w:rPr>
        <w:t>La valeur du biais ne peut pas être connue avec exactitude. Par exemple, les valeurs d’analyte attribuées à des matériaux de référence certifiés sont inexactes par nature, étant toujours exprimées sous la forme d’unités x ± y. En outre, la valeur moyenne obtenue pour le matériau de référence à partir de mesures répétées effectuées avec le dosage de routine est également soumise à une incertitude de mesure, si bien qu’elle est, elle aussi, exprimée sous la forme x ± y unités. Étant donné que les deux valeurs utilisées pour estimer le biais comportent de l’incertitude, la valeur du biais ne peut pas être connue avec précision. De même, l’erreur aléatoire est, par définition, imprévisible et ne peut donc pas être connue exactement pour un résultat de mesure individuel. Par conséquent, l’erreur totale associée à un résultat de mesure ne peut pas être déterminée avec exactitude. Cela reste vrai même avec les procédures de mesure de référence les plus actuelles, ce qui explique pourquoi les valeurs d’analytes attribuées à des matériaux de référence certifiés sont toujours exprimées sous la forme x ± y unités.</w:t>
      </w:r>
    </w:p>
    <w:p w14:paraId="436591A7" w14:textId="77777777" w:rsidR="00724AE5" w:rsidRPr="0042503D" w:rsidRDefault="00AD4E2D" w:rsidP="00AD4E2D">
      <w:pPr>
        <w:pStyle w:val="ListParagraph"/>
        <w:numPr>
          <w:ilvl w:val="0"/>
          <w:numId w:val="2"/>
        </w:numPr>
        <w:tabs>
          <w:tab w:val="left" w:pos="541"/>
        </w:tabs>
        <w:spacing w:before="240" w:line="228" w:lineRule="auto"/>
        <w:ind w:firstLine="0"/>
        <w:rPr>
          <w:snapToGrid w:val="0"/>
          <w:szCs w:val="21"/>
          <w:lang w:val="fr-FR"/>
        </w:rPr>
      </w:pPr>
      <w:r w:rsidRPr="0042503D">
        <w:rPr>
          <w:snapToGrid w:val="0"/>
          <w:szCs w:val="21"/>
          <w:lang w:val="fr"/>
        </w:rPr>
        <w:t>Le calcul de l’erreur totale repose sur la formule : biais + écart-type 1,65. Si une valeur de biais est connue pour une procédure de mesure, pourquoi l’approche fondée sur l’erreur totale l’intègre-t-elle dans le calcul de l’erreur totale, au lieu de chercher à l’éliminer ou à la réduire, par exemple, en recalibrant le système ou en appliquant un facteur de correction aux résultats bruts ? À l’inverse, si la valeur du biais ne peut pas être estimée, alors le biais reste inconnu et ne peut être corrigé.</w:t>
      </w:r>
    </w:p>
    <w:p w14:paraId="2A9192E7" w14:textId="77777777" w:rsidR="00724AE5" w:rsidRPr="0042503D" w:rsidRDefault="00AD4E2D" w:rsidP="00AD4E2D">
      <w:pPr>
        <w:pStyle w:val="ListParagraph"/>
        <w:numPr>
          <w:ilvl w:val="0"/>
          <w:numId w:val="2"/>
        </w:numPr>
        <w:tabs>
          <w:tab w:val="left" w:pos="541"/>
        </w:tabs>
        <w:spacing w:before="240" w:line="228" w:lineRule="auto"/>
        <w:ind w:firstLine="0"/>
        <w:rPr>
          <w:snapToGrid w:val="0"/>
          <w:szCs w:val="21"/>
          <w:lang w:val="fr-FR"/>
        </w:rPr>
      </w:pPr>
      <w:r w:rsidRPr="0042503D">
        <w:rPr>
          <w:snapToGrid w:val="0"/>
          <w:szCs w:val="21"/>
          <w:lang w:val="fr"/>
        </w:rPr>
        <w:t xml:space="preserve">Le calcul de la </w:t>
      </w:r>
      <w:proofErr w:type="gramStart"/>
      <w:r w:rsidRPr="0042503D">
        <w:rPr>
          <w:snapToGrid w:val="0"/>
          <w:szCs w:val="21"/>
          <w:lang w:val="fr"/>
        </w:rPr>
        <w:t>TE additionne</w:t>
      </w:r>
      <w:proofErr w:type="gramEnd"/>
      <w:r w:rsidRPr="0042503D">
        <w:rPr>
          <w:snapToGrid w:val="0"/>
          <w:szCs w:val="21"/>
          <w:lang w:val="fr"/>
        </w:rPr>
        <w:t xml:space="preserve"> une valeur de biais à une distribution de probabilité (1,65 x écart-type) pour estimer une valeur maximale probable de l’erreur d’un système de mesure. C’est comme additionner des pommes et des poires. Comme on le constate à l’examen des résultats de contrôle qualité (CQ), chaque résultat individuel pour un même matériau présente une erreur de mesure d’amplitude différente, ce qui se traduit par une dispersion des valeurs. C’est pourquoi l’approche de la TE ne peut pas être appliquée à des résultats individuels, car elle ne tient pas compte du fait que, pour un résultat-patient donné, l’imprécision puisse différer de l’écart-type 1,65.</w:t>
      </w:r>
    </w:p>
    <w:p w14:paraId="2DBD7C97" w14:textId="77777777" w:rsidR="00724AE5" w:rsidRPr="0042503D" w:rsidRDefault="00AD4E2D" w:rsidP="00AD4E2D">
      <w:pPr>
        <w:pStyle w:val="BodyText"/>
        <w:spacing w:before="240" w:line="228" w:lineRule="auto"/>
        <w:ind w:right="233"/>
        <w:rPr>
          <w:snapToGrid w:val="0"/>
          <w:sz w:val="22"/>
          <w:szCs w:val="22"/>
          <w:lang w:val="fr-FR"/>
        </w:rPr>
      </w:pPr>
      <w:r w:rsidRPr="0042503D">
        <w:rPr>
          <w:snapToGrid w:val="0"/>
          <w:sz w:val="22"/>
          <w:szCs w:val="22"/>
          <w:lang w:val="fr"/>
        </w:rPr>
        <w:t xml:space="preserve">En résumé, bien que l’erreur de mesure ne puisse pas être connue avec exactitude, le concept d’erreur totale présente un intérêt théorique et peut s’avérer utile dans certaines situations pratiques, notamment lorsqu’il est nécessaire de fixer une limite supérieure acceptable de l’erreur totale associée aux résultats de mesure, par exemple, pour le dosage du cholestérol </w:t>
      </w:r>
      <w:r w:rsidRPr="0042503D">
        <w:rPr>
          <w:snapToGrid w:val="0"/>
          <w:sz w:val="22"/>
          <w:szCs w:val="22"/>
          <w:lang w:val="fr"/>
        </w:rPr>
        <w:lastRenderedPageBreak/>
        <w:t>plasmatique ou dans le contexte du dopage sportif. En revanche, cette approche n’est pas adaptée à l’expression de l’incertitude d’un résultat individuel.</w:t>
      </w:r>
    </w:p>
    <w:p w14:paraId="59616A12" w14:textId="77777777" w:rsidR="00724AE5" w:rsidRPr="0042503D" w:rsidRDefault="00AD4E2D" w:rsidP="00AD4E2D">
      <w:pPr>
        <w:pStyle w:val="Heading1"/>
        <w:spacing w:before="240" w:line="228" w:lineRule="auto"/>
        <w:rPr>
          <w:snapToGrid w:val="0"/>
          <w:lang w:val="fr-FR"/>
        </w:rPr>
      </w:pPr>
      <w:r>
        <w:rPr>
          <w:snapToGrid w:val="0"/>
          <w:lang w:val="fr"/>
        </w:rPr>
        <w:t>Qu’est-ce que l’incertitude de mesure (MU) ?</w:t>
      </w:r>
    </w:p>
    <w:p w14:paraId="092F1DBE" w14:textId="77777777" w:rsidR="00724AE5" w:rsidRPr="0042503D" w:rsidRDefault="00AD4E2D" w:rsidP="00AD4E2D">
      <w:pPr>
        <w:pStyle w:val="BodyText"/>
        <w:spacing w:before="240" w:line="228" w:lineRule="auto"/>
        <w:ind w:right="234"/>
        <w:rPr>
          <w:snapToGrid w:val="0"/>
          <w:sz w:val="22"/>
          <w:szCs w:val="22"/>
          <w:lang w:val="fr-FR"/>
        </w:rPr>
      </w:pPr>
      <w:r w:rsidRPr="0042503D">
        <w:rPr>
          <w:snapToGrid w:val="0"/>
          <w:sz w:val="22"/>
          <w:szCs w:val="22"/>
          <w:lang w:val="fr"/>
        </w:rPr>
        <w:t>À la différence de l’approche fondée sur la TE, la MU ne vise pas à estimer l’erreur de mesure. Dans les laboratoires de routine, un échantillon de patient est généralement mesuré une seule fois, et non à de multiples reprises. Par conséquent, l’approche fondée sur la MU s’attache donc à caractériser la dispersion potentielle des valeurs qui auraient pu être obtenues pour un analyte donné, si cet échantillon avait été mesuré plusieurs fois (dans des conditions reproductibles) au lieu d’une seule fois. Pour ce faire, l’approche de la MU exploite les données disponibles issues des mesures répétées et effectuées à l’aide d’un système de mesure, afin de définir un intervalle dans lequel la valeur réelle de l’analyte mesuré est censée se situer, et avec un niveau de confiance déterminé. Par exemple, si une concentration en glucose plasmatique est mesurée à 4,5 mmol/L, l’existence d’une information pertinente sur la MU pourrait permettre au laboratoire d’affirmer, avec un niveau de confiance d’environ 95 %, que la valeur réelle de la concentration de glucose dans l’échantillon se situe entre 4,4 et 4,6 </w:t>
      </w:r>
      <w:proofErr w:type="spellStart"/>
      <w:r w:rsidRPr="0042503D">
        <w:rPr>
          <w:snapToGrid w:val="0"/>
          <w:sz w:val="22"/>
          <w:szCs w:val="22"/>
          <w:lang w:val="fr"/>
        </w:rPr>
        <w:t>mmol</w:t>
      </w:r>
      <w:proofErr w:type="spellEnd"/>
      <w:r w:rsidRPr="0042503D">
        <w:rPr>
          <w:snapToGrid w:val="0"/>
          <w:sz w:val="22"/>
          <w:szCs w:val="22"/>
          <w:lang w:val="fr"/>
        </w:rPr>
        <w:t>/L.</w:t>
      </w:r>
    </w:p>
    <w:p w14:paraId="6F94B665" w14:textId="77777777" w:rsidR="00724AE5" w:rsidRPr="0042503D" w:rsidRDefault="00AD4E2D" w:rsidP="00AD4E2D">
      <w:pPr>
        <w:pStyle w:val="BodyText"/>
        <w:spacing w:before="240" w:line="228" w:lineRule="auto"/>
        <w:ind w:right="233"/>
        <w:rPr>
          <w:snapToGrid w:val="0"/>
          <w:sz w:val="22"/>
          <w:szCs w:val="22"/>
          <w:lang w:val="fr-FR"/>
        </w:rPr>
      </w:pPr>
      <w:r w:rsidRPr="0042503D">
        <w:rPr>
          <w:snapToGrid w:val="0"/>
          <w:sz w:val="22"/>
          <w:szCs w:val="22"/>
          <w:lang w:val="fr"/>
        </w:rPr>
        <w:t>En résumé, la MU ne fournit pas une estimation de l’erreur, mais une estimation quantitative de l’intervalle dans lequel le laboratoire considère que la valeur réelle d’un analyte mesuré se trouve, avec un certain niveau de confiance. En ce sens, le terme « incertitude de mesure » peut prêter à confusion, puisqu’il s’agit en réalité d’une expression numérique du degré de confiance, ou de la conviction, qu’a le laboratoire quant à la qualité d’un résultat. La MU constitue donc un paramètre essentiel de la fiabilité des résultats de mesure. Le paramètre fondamental utilisé pour exprimer le MU est l’écart-type 1. Remarque : La MU est une propriété des résultats de mesure, et non de la procédure de mesure en elle-même.</w:t>
      </w:r>
    </w:p>
    <w:p w14:paraId="37263F9F" w14:textId="77777777" w:rsidR="00724AE5" w:rsidRPr="0042503D" w:rsidRDefault="00AD4E2D" w:rsidP="00AD4E2D">
      <w:pPr>
        <w:pStyle w:val="Heading1"/>
        <w:spacing w:before="240" w:line="228" w:lineRule="auto"/>
        <w:rPr>
          <w:snapToGrid w:val="0"/>
          <w:lang w:val="fr-FR"/>
        </w:rPr>
      </w:pPr>
      <w:r>
        <w:rPr>
          <w:snapToGrid w:val="0"/>
          <w:lang w:val="fr"/>
        </w:rPr>
        <w:t>Que comprend la MU ?</w:t>
      </w:r>
    </w:p>
    <w:p w14:paraId="51638536" w14:textId="77777777" w:rsidR="00724AE5" w:rsidRPr="0042503D" w:rsidRDefault="00AD4E2D" w:rsidP="00AD4E2D">
      <w:pPr>
        <w:pStyle w:val="BodyText"/>
        <w:spacing w:before="240" w:line="228" w:lineRule="auto"/>
        <w:ind w:right="233"/>
        <w:rPr>
          <w:snapToGrid w:val="0"/>
          <w:sz w:val="22"/>
          <w:szCs w:val="22"/>
          <w:lang w:val="fr-FR"/>
        </w:rPr>
      </w:pPr>
      <w:r w:rsidRPr="0042503D">
        <w:rPr>
          <w:snapToGrid w:val="0"/>
          <w:sz w:val="22"/>
          <w:szCs w:val="22"/>
          <w:lang w:val="fr"/>
        </w:rPr>
        <w:t>Les nombreuses sources potentielles de variabilité affectant les résultats de mesure des patients sont traditionnellement classées en trois catégories : pré-analytiques (par exemple, variation biologique intra-individuelle, stress, médicaments, transport d’échantillons, etc.), analytiques, et post-analytiques (par exemple, arrondi des résultats). Pour de nombreux analytes, l’ampleur des variabilités pré-analytiques dépasse largement celles associées au processus de mesure. Toutefois, la MU ne prend en compte que les incertitudes générées au sein même du processus de mesure,</w:t>
      </w:r>
    </w:p>
    <w:p w14:paraId="71FA4946" w14:textId="77777777" w:rsidR="00724AE5" w:rsidRPr="0042503D" w:rsidRDefault="00AD4E2D" w:rsidP="00AD4E2D">
      <w:pPr>
        <w:pStyle w:val="BodyText"/>
        <w:spacing w:line="228" w:lineRule="auto"/>
        <w:ind w:right="238"/>
        <w:rPr>
          <w:snapToGrid w:val="0"/>
          <w:sz w:val="22"/>
          <w:szCs w:val="22"/>
          <w:lang w:val="fr-FR"/>
        </w:rPr>
      </w:pPr>
      <w:proofErr w:type="gramStart"/>
      <w:r w:rsidRPr="0042503D">
        <w:rPr>
          <w:snapToGrid w:val="0"/>
          <w:sz w:val="22"/>
          <w:szCs w:val="22"/>
          <w:lang w:val="fr"/>
        </w:rPr>
        <w:t>c’est</w:t>
      </w:r>
      <w:proofErr w:type="gramEnd"/>
      <w:r w:rsidRPr="0042503D">
        <w:rPr>
          <w:snapToGrid w:val="0"/>
          <w:sz w:val="22"/>
          <w:szCs w:val="22"/>
          <w:lang w:val="fr"/>
        </w:rPr>
        <w:t xml:space="preserve"> à dire, à partir du prélèvement à partir sur tube primaire ou de la préparation de l’échantillon jusqu’à l’obtention du résultat. Pour certains analytes ou objectifs cliniques particuliers, il est possible d’intégrer des incertitudes pré-analytiques à l’incertitude de mesure MU, à condition qu’elles puissent être exprimées sous forme d’écart-type, et donc combinées mathématiquement avec l’incertitude analytique.</w:t>
      </w:r>
    </w:p>
    <w:p w14:paraId="29D9E869" w14:textId="77777777" w:rsidR="00724AE5" w:rsidRPr="0042503D" w:rsidRDefault="00AD4E2D" w:rsidP="00AD4E2D">
      <w:pPr>
        <w:pStyle w:val="Heading1"/>
        <w:spacing w:before="240" w:line="228" w:lineRule="auto"/>
        <w:rPr>
          <w:snapToGrid w:val="0"/>
          <w:lang w:val="fr-FR"/>
        </w:rPr>
      </w:pPr>
      <w:r>
        <w:rPr>
          <w:snapToGrid w:val="0"/>
          <w:lang w:val="fr"/>
        </w:rPr>
        <w:t>Comment la MU prend-elle en compte les biais ?</w:t>
      </w:r>
    </w:p>
    <w:p w14:paraId="27B5BFDD" w14:textId="77777777" w:rsidR="00724AE5" w:rsidRPr="0042503D" w:rsidRDefault="00AD4E2D" w:rsidP="00AD4E2D">
      <w:pPr>
        <w:pStyle w:val="BodyText"/>
        <w:spacing w:before="240" w:line="228" w:lineRule="auto"/>
        <w:ind w:left="115" w:right="173"/>
        <w:rPr>
          <w:snapToGrid w:val="0"/>
          <w:sz w:val="22"/>
          <w:szCs w:val="22"/>
          <w:lang w:val="fr-FR"/>
        </w:rPr>
      </w:pPr>
      <w:r w:rsidRPr="0042503D">
        <w:rPr>
          <w:snapToGrid w:val="0"/>
          <w:sz w:val="22"/>
          <w:szCs w:val="22"/>
          <w:lang w:val="fr"/>
        </w:rPr>
        <w:t xml:space="preserve">Le biais est une valeur de décalage systématique prévisible par rapport à une référence appropriée, par exemple, une valeur assignée à un matériau de référence certifié secondaire ou conventionnel, ou encore un groupe de pairs, ou une valeur cible moyenne obtenue dans un programme d’évaluation externe de la qualité (EQA) ou un circuit interlaboratoires, notamment dans </w:t>
      </w:r>
      <w:r w:rsidRPr="0042503D">
        <w:rPr>
          <w:snapToGrid w:val="0"/>
          <w:sz w:val="22"/>
          <w:szCs w:val="22"/>
          <w:lang w:val="fr"/>
        </w:rPr>
        <w:lastRenderedPageBreak/>
        <w:t>un objectif d’amélioration de l’alignement inter-dosage. Quelle que soit la méthode employée pour déterminer une valeur de biais pour une procédure de mesure de routine, l’approche par la MU repose sur l’hypothèse que tout biais connu est soit corrigé, soit réduit au minimum, par exemple, via une recalibration. Comme évoqué précédemment, la valeur exacte d’un biais ne peut jamais être connue avec certitude. Par conséquent, un biais ne peut pas être totalement éliminé. L’approche fondée sur la MU reconnaît que la valeur utilisée pour corriger le biais comporte une incertitude associée, qui résulte de la combinaison de deux composantes : l’incertitude propre à la valeur de référence (lorsqu’elle est disponible) et l’erreur standard de la moyenne des résultats obtenus par mesures répétées de cette référence à l’aide de la procédure en question. L’incertitude de la valeur du biais est donc exprimée sous forme d’un écart-type. Si le biais ne peut être estimé, son ampleur reste inconnue et il ne peut donc être pris en compte.</w:t>
      </w:r>
    </w:p>
    <w:p w14:paraId="028E5236" w14:textId="77777777" w:rsidR="00724AE5" w:rsidRPr="0042503D" w:rsidRDefault="00AD4E2D" w:rsidP="00AD4E2D">
      <w:pPr>
        <w:pStyle w:val="BodyText"/>
        <w:spacing w:before="360" w:line="228" w:lineRule="auto"/>
        <w:ind w:left="115" w:right="245"/>
        <w:rPr>
          <w:snapToGrid w:val="0"/>
          <w:sz w:val="22"/>
          <w:szCs w:val="22"/>
          <w:lang w:val="fr-FR"/>
        </w:rPr>
      </w:pPr>
      <w:r w:rsidRPr="0042503D">
        <w:rPr>
          <w:snapToGrid w:val="0"/>
          <w:sz w:val="22"/>
          <w:szCs w:val="22"/>
          <w:lang w:val="fr"/>
        </w:rPr>
        <w:t>En résumé : si un biais est connu et considéré comme significatif, il doit être éliminé ou au moins minimisé dans le système de mesure. Le caractère significatif d’un biais peut être déterminé statistiquement ou faire l’objet d’un jugement professionnel. Par exemple, un biais de 0,1 mmol/L dans la mesure du calcium plasmatique est manifestement significatif, tandis qu’un biais de 0,001 mmol/L ne le serait probablement pas. Lorsque la valeur du biais a été estimée, l’incertitude associée à cette valeur doit être prise en compte pour être incluse dans le calcul de la MU globale applicable aux résultats fournis par la procédure de mesure concernée.</w:t>
      </w:r>
    </w:p>
    <w:p w14:paraId="28F49BB0" w14:textId="77777777" w:rsidR="00724AE5" w:rsidRPr="0042503D" w:rsidRDefault="00AD4E2D" w:rsidP="00AD4E2D">
      <w:pPr>
        <w:pStyle w:val="Heading1"/>
        <w:spacing w:before="240" w:line="228" w:lineRule="auto"/>
        <w:rPr>
          <w:snapToGrid w:val="0"/>
          <w:lang w:val="fr-FR"/>
        </w:rPr>
      </w:pPr>
      <w:r>
        <w:rPr>
          <w:snapToGrid w:val="0"/>
          <w:lang w:val="fr"/>
        </w:rPr>
        <w:t>Comment la MU est-elle estimée ?</w:t>
      </w:r>
    </w:p>
    <w:p w14:paraId="4B058003" w14:textId="77777777" w:rsidR="00724AE5" w:rsidRPr="0042503D" w:rsidRDefault="00AD4E2D" w:rsidP="00AD4E2D">
      <w:pPr>
        <w:pStyle w:val="BodyText"/>
        <w:spacing w:before="240" w:line="228" w:lineRule="auto"/>
        <w:ind w:right="233"/>
        <w:rPr>
          <w:snapToGrid w:val="0"/>
          <w:sz w:val="22"/>
          <w:szCs w:val="22"/>
          <w:lang w:val="fr-FR"/>
        </w:rPr>
      </w:pPr>
      <w:r w:rsidRPr="0042503D">
        <w:rPr>
          <w:snapToGrid w:val="0"/>
          <w:sz w:val="22"/>
          <w:szCs w:val="22"/>
          <w:lang w:val="fr"/>
        </w:rPr>
        <w:t>Puisque l’approche sur la MU exige que tout biais connu soit éliminé ou réduit au minimum — ou ignoré s’il est inconnu —, les sources d’incertitude restante sont :</w:t>
      </w:r>
    </w:p>
    <w:p w14:paraId="2D0CD21A" w14:textId="77777777" w:rsidR="00724AE5" w:rsidRPr="0042503D" w:rsidRDefault="00AD4E2D" w:rsidP="00AD4E2D">
      <w:pPr>
        <w:pStyle w:val="BodyText"/>
        <w:numPr>
          <w:ilvl w:val="0"/>
          <w:numId w:val="5"/>
        </w:numPr>
        <w:tabs>
          <w:tab w:val="left" w:pos="686"/>
        </w:tabs>
        <w:spacing w:before="240" w:line="228" w:lineRule="auto"/>
        <w:ind w:hanging="414"/>
        <w:rPr>
          <w:snapToGrid w:val="0"/>
          <w:sz w:val="22"/>
          <w:szCs w:val="22"/>
          <w:lang w:val="fr-FR"/>
        </w:rPr>
      </w:pPr>
      <w:proofErr w:type="gramStart"/>
      <w:r w:rsidRPr="0042503D">
        <w:rPr>
          <w:snapToGrid w:val="0"/>
          <w:sz w:val="22"/>
          <w:szCs w:val="22"/>
          <w:lang w:val="fr"/>
        </w:rPr>
        <w:t>l’imprécision</w:t>
      </w:r>
      <w:proofErr w:type="gramEnd"/>
      <w:r w:rsidRPr="0042503D">
        <w:rPr>
          <w:snapToGrid w:val="0"/>
          <w:sz w:val="22"/>
          <w:szCs w:val="22"/>
          <w:lang w:val="fr"/>
        </w:rPr>
        <w:t xml:space="preserve"> du système de mesure ;</w:t>
      </w:r>
    </w:p>
    <w:p w14:paraId="5FE4EF35" w14:textId="77777777" w:rsidR="00724AE5" w:rsidRPr="0042503D" w:rsidRDefault="00AD4E2D" w:rsidP="00AD4E2D">
      <w:pPr>
        <w:pStyle w:val="BodyText"/>
        <w:numPr>
          <w:ilvl w:val="0"/>
          <w:numId w:val="5"/>
        </w:numPr>
        <w:tabs>
          <w:tab w:val="left" w:pos="686"/>
        </w:tabs>
        <w:spacing w:before="16" w:line="228" w:lineRule="auto"/>
        <w:ind w:right="1094" w:hanging="418"/>
        <w:rPr>
          <w:snapToGrid w:val="0"/>
          <w:sz w:val="22"/>
          <w:szCs w:val="22"/>
          <w:lang w:val="fr-FR"/>
        </w:rPr>
      </w:pPr>
      <w:proofErr w:type="gramStart"/>
      <w:r w:rsidRPr="0042503D">
        <w:rPr>
          <w:snapToGrid w:val="0"/>
          <w:sz w:val="22"/>
          <w:szCs w:val="22"/>
          <w:lang w:val="fr"/>
        </w:rPr>
        <w:t>l’imprécision</w:t>
      </w:r>
      <w:proofErr w:type="gramEnd"/>
      <w:r w:rsidRPr="0042503D">
        <w:rPr>
          <w:snapToGrid w:val="0"/>
          <w:sz w:val="22"/>
          <w:szCs w:val="22"/>
          <w:lang w:val="fr"/>
        </w:rPr>
        <w:t xml:space="preserve"> associée à la valeur de biais utilisée, si un biais a été éliminé ou minimisé.</w:t>
      </w:r>
    </w:p>
    <w:p w14:paraId="6CB9B432" w14:textId="77777777" w:rsidR="00724AE5" w:rsidRPr="0042503D" w:rsidRDefault="00AD4E2D" w:rsidP="00AD4E2D">
      <w:pPr>
        <w:pStyle w:val="BodyText"/>
        <w:spacing w:before="240" w:line="228" w:lineRule="auto"/>
        <w:ind w:right="233"/>
        <w:rPr>
          <w:snapToGrid w:val="0"/>
          <w:sz w:val="22"/>
          <w:szCs w:val="22"/>
          <w:lang w:val="fr-FR"/>
        </w:rPr>
      </w:pPr>
      <w:r w:rsidRPr="0042503D">
        <w:rPr>
          <w:snapToGrid w:val="0"/>
          <w:sz w:val="22"/>
          <w:szCs w:val="22"/>
          <w:lang w:val="fr"/>
        </w:rPr>
        <w:t>Pour la plupart des systèmes de mesure, l’imprécision due à la reproductibilité intermédiaire est d’un ordre de grandeur supérieur à celle liée à la correction du biais. En conséquence, pour la majorité des procédures de mesure, l’incertitude de mesures est simplement estimée à partir de la reproductibilité intermédiaire évaluée au moyen des contrôles de qualité, généralement exprimée sous forme d’écart-type 1 ou de coefficient de variation en CV %.</w:t>
      </w:r>
    </w:p>
    <w:p w14:paraId="2B42CA3E" w14:textId="77777777" w:rsidR="00724AE5" w:rsidRPr="0042503D" w:rsidRDefault="00AD4E2D" w:rsidP="00AD4E2D">
      <w:pPr>
        <w:pStyle w:val="BodyText"/>
        <w:spacing w:before="240" w:line="228" w:lineRule="auto"/>
        <w:ind w:right="233"/>
        <w:rPr>
          <w:snapToGrid w:val="0"/>
          <w:sz w:val="22"/>
          <w:szCs w:val="22"/>
          <w:lang w:val="fr-FR"/>
        </w:rPr>
      </w:pPr>
      <w:r w:rsidRPr="0042503D">
        <w:rPr>
          <w:snapToGrid w:val="0"/>
          <w:sz w:val="22"/>
          <w:szCs w:val="22"/>
          <w:lang w:val="fr"/>
        </w:rPr>
        <w:t xml:space="preserve">Les procédures de mesure sont souvent des systèmes automatisés de type « boîte noire », qui ne permettent pas d’analyser séparément l’incertitude associée à chaque composant (par exemple, les sondes de prélèvement/de réactif, les bains-marie, les spectrophotomètres, etc.) afin de déterminer l’incertitude propre. Heureusement, ce qui importe est de quantifier l’effet global de ces différentes sources de variabilité sur les résultats de mesure. Or cet effet combiné est adéquatement reflété par la dispersion des résultats obtenus avec les échantillons de contrôle qualité. Étant donné que les résultats des patients sont comparés entre eux et à des valeurs de référence au fil du temps, il est pertinent que les données de contrôle qualité utilisées pour les calculs de la MU soient collectées sur une période suffisamment longue pour capturer la variabilité liée aux changements lors du fonctionnement du système de mesure (par exemple : changements de lots de réactifs et de calibrateurs, changement d’opérateurs, maintenance de routine, etc.). On parle alors de reproductibilité </w:t>
      </w:r>
      <w:r w:rsidRPr="0042503D">
        <w:rPr>
          <w:snapToGrid w:val="0"/>
          <w:sz w:val="22"/>
          <w:szCs w:val="22"/>
          <w:lang w:val="fr"/>
        </w:rPr>
        <w:lastRenderedPageBreak/>
        <w:t>intermédiaire. La plupart des procédures de mesure sont suffisamment robustes pour que l’imprécision varie peu d’un lot de réactif à un autre. L’imprécision peut donc être calculée en combinant leurs écarts-types (voir ci-dessous la méthode de combinaison des écarts-types). L’obtention d’un jeu de données suffisant (&gt; 100 résultats) prend plus de temps pour les procédures de mesure réalisées peu fréquemment, auquel cas des calculs provisoires sont appropriés ; mais dans tous les cas, y compris pour les nouvelles procédures, un minimum de 30 résultats de contrôle qualité est requis avant de pouvoir raisonnablement supposer que la distribution des points de données suit une distribution gaussienne approximative. Par la suite, au fur et à mesure que les résultats de contrôle qualité s’accumulent, l’imprécision doit être recalculée régulièrement jusqu’à stabilisation de l’écart-type, selon le même nombre de décimales que celui utilisé pour les résultats rendus.</w:t>
      </w:r>
    </w:p>
    <w:p w14:paraId="3C556B8A" w14:textId="77777777" w:rsidR="00724AE5" w:rsidRPr="0042503D" w:rsidRDefault="00AD4E2D" w:rsidP="00AD4E2D">
      <w:pPr>
        <w:pStyle w:val="BodyText"/>
        <w:spacing w:before="240" w:line="228" w:lineRule="auto"/>
        <w:ind w:right="92"/>
        <w:rPr>
          <w:snapToGrid w:val="0"/>
          <w:sz w:val="22"/>
          <w:szCs w:val="22"/>
          <w:lang w:val="fr-FR"/>
        </w:rPr>
      </w:pPr>
      <w:r w:rsidRPr="0042503D">
        <w:rPr>
          <w:snapToGrid w:val="0"/>
          <w:sz w:val="22"/>
          <w:szCs w:val="22"/>
          <w:lang w:val="fr"/>
        </w:rPr>
        <w:t>De manière simple, la valeur moyenne et l’écart-type sont calculés pour chaque niveau de contrôle qualité utilisé dans une procédure de mesure donnée sur une période suffisamment longue pour couvrir un nombre représentatif de variations du processus analytique. Trente (30) valeurs sont en général suffisantes pour fournir une estimation initiale de la MU. Le paramètre fondamental de l’incertitude de MU est l’écart-type 1 (</w:t>
      </w:r>
      <w:r w:rsidRPr="0042503D">
        <w:rPr>
          <w:i/>
          <w:iCs/>
          <w:snapToGrid w:val="0"/>
          <w:sz w:val="22"/>
          <w:szCs w:val="22"/>
          <w:lang w:val="fr"/>
        </w:rPr>
        <w:t>incertitude de mesure standard</w:t>
      </w:r>
      <w:r w:rsidRPr="0042503D">
        <w:rPr>
          <w:snapToGrid w:val="0"/>
          <w:sz w:val="22"/>
          <w:szCs w:val="22"/>
          <w:lang w:val="fr"/>
        </w:rPr>
        <w:t>, symbole μ). Étant donné que l’écart-type du contrôle qualité reflète l’effet combiné de toutes les incertitudes individuelles présentes dans le système de mesure, l’écart-type peut être considéré comme l’incertitude-type combinée (μ</w:t>
      </w:r>
      <w:r w:rsidRPr="0042503D">
        <w:rPr>
          <w:snapToGrid w:val="0"/>
          <w:sz w:val="22"/>
          <w:szCs w:val="22"/>
          <w:vertAlign w:val="subscript"/>
          <w:lang w:val="fr"/>
        </w:rPr>
        <w:t>c</w:t>
      </w:r>
      <w:r w:rsidRPr="0042503D">
        <w:rPr>
          <w:snapToGrid w:val="0"/>
          <w:sz w:val="22"/>
          <w:szCs w:val="22"/>
          <w:lang w:val="fr"/>
        </w:rPr>
        <w:t>) applicable aux résultats des patients autour de la valeur moyenne du contrôle qualité concerné.</w:t>
      </w:r>
    </w:p>
    <w:p w14:paraId="340B5DC2" w14:textId="77777777" w:rsidR="00724AE5" w:rsidRPr="0042503D" w:rsidRDefault="00AD4E2D" w:rsidP="00AD4E2D">
      <w:pPr>
        <w:pStyle w:val="BodyText"/>
        <w:spacing w:before="240" w:line="228" w:lineRule="auto"/>
        <w:ind w:right="86"/>
        <w:rPr>
          <w:snapToGrid w:val="0"/>
          <w:sz w:val="22"/>
          <w:szCs w:val="22"/>
          <w:lang w:val="fr-FR"/>
        </w:rPr>
      </w:pPr>
      <w:r w:rsidRPr="0042503D">
        <w:rPr>
          <w:snapToGrid w:val="0"/>
          <w:sz w:val="22"/>
          <w:szCs w:val="22"/>
          <w:lang w:val="fr"/>
        </w:rPr>
        <w:t>Étant donné que l’écart-type ±1 ne couvre qu’environ 68 % de la dispersion des valeurs de contrôle qualité obtenues, l’intervalle d’incertitude est élargi par l’application d’un facteur de couverture (k), afin d’obtenir l’</w:t>
      </w:r>
      <w:r w:rsidRPr="0042503D">
        <w:rPr>
          <w:i/>
          <w:iCs/>
          <w:snapToGrid w:val="0"/>
          <w:sz w:val="22"/>
          <w:szCs w:val="22"/>
          <w:lang w:val="fr"/>
        </w:rPr>
        <w:t>incertitude de mesure étendue</w:t>
      </w:r>
      <w:r w:rsidRPr="0042503D">
        <w:rPr>
          <w:snapToGrid w:val="0"/>
          <w:sz w:val="22"/>
          <w:szCs w:val="22"/>
          <w:lang w:val="fr"/>
        </w:rPr>
        <w:t xml:space="preserve"> (symbole </w:t>
      </w:r>
      <w:r w:rsidRPr="0042503D">
        <w:rPr>
          <w:i/>
          <w:iCs/>
          <w:snapToGrid w:val="0"/>
          <w:sz w:val="22"/>
          <w:szCs w:val="22"/>
          <w:lang w:val="fr"/>
        </w:rPr>
        <w:t>U</w:t>
      </w:r>
      <w:r w:rsidRPr="0042503D">
        <w:rPr>
          <w:snapToGrid w:val="0"/>
          <w:sz w:val="22"/>
          <w:szCs w:val="22"/>
          <w:lang w:val="fr"/>
        </w:rPr>
        <w:t>). On choisit en général k = 2, ce qui permet une couverture plus utile de 95,5 % de la dispersion des résultats. En supposant que cette dispersion s’applique également aux résultats des patients, un résultat pourrait alors être présenté sous la forme : x ± y (avec un niveau de confiance de 95 %), où y = écart-type 2 (c’est-à-dire, 2 x μ</w:t>
      </w:r>
      <w:r w:rsidRPr="0042503D">
        <w:rPr>
          <w:snapToGrid w:val="0"/>
          <w:sz w:val="22"/>
          <w:szCs w:val="22"/>
          <w:vertAlign w:val="subscript"/>
          <w:lang w:val="fr"/>
        </w:rPr>
        <w:t>c</w:t>
      </w:r>
      <w:r w:rsidRPr="0042503D">
        <w:rPr>
          <w:snapToGrid w:val="0"/>
          <w:sz w:val="22"/>
          <w:szCs w:val="22"/>
          <w:lang w:val="fr"/>
        </w:rPr>
        <w:t xml:space="preserve"> = </w:t>
      </w:r>
      <w:r w:rsidRPr="0042503D">
        <w:rPr>
          <w:i/>
          <w:iCs/>
          <w:snapToGrid w:val="0"/>
          <w:sz w:val="22"/>
          <w:szCs w:val="22"/>
          <w:lang w:val="fr"/>
        </w:rPr>
        <w:t>U</w:t>
      </w:r>
      <w:r w:rsidRPr="0042503D">
        <w:rPr>
          <w:snapToGrid w:val="0"/>
          <w:sz w:val="22"/>
          <w:szCs w:val="22"/>
          <w:lang w:val="fr"/>
        </w:rPr>
        <w:t>). Si plusieurs niveaux de contrôle qualité sont utilisés, la MU doit être calculée séparément pour chacun, et une évaluation doit être menée afin de déterminer si leurs écarts sont suffisamment marqués pour justifier l’utilisation distincte de chaque niveau de contrôle qualité en fonction de l’intervalle de résultats patients concerné.</w:t>
      </w:r>
    </w:p>
    <w:p w14:paraId="3318A009" w14:textId="77777777" w:rsidR="00724AE5" w:rsidRPr="0042503D" w:rsidRDefault="00AD4E2D" w:rsidP="00AD4E2D">
      <w:pPr>
        <w:pStyle w:val="BodyText"/>
        <w:spacing w:before="240" w:line="228" w:lineRule="auto"/>
        <w:ind w:right="233"/>
        <w:rPr>
          <w:snapToGrid w:val="0"/>
          <w:sz w:val="22"/>
          <w:szCs w:val="22"/>
          <w:lang w:val="fr-FR"/>
        </w:rPr>
      </w:pPr>
      <w:r w:rsidRPr="0042503D">
        <w:rPr>
          <w:snapToGrid w:val="0"/>
          <w:sz w:val="22"/>
          <w:szCs w:val="22"/>
          <w:lang w:val="fr"/>
        </w:rPr>
        <w:t>Considérons les données de contrôle qualité suivantes pour la procédure de mesure de la rhubarbe sérique. Les valeurs des étalons ont été attribuées en interne par le fabricant de la méthode de dosage, et les matériaux de référence conventionnels ne sont pas disponibles pour permettre une évaluation du biais. La performance observée dans un programme d’évaluation externe de la qualité a montré que l’écart au sein du groupe de pairs restait toujours inférieur à 0,1 mmol/L. Compte tenu de l’usage clinique des résultats, ce biais n’a pas été jugé significatif, et a donc été écarté du calcul de la MU.</w:t>
      </w:r>
    </w:p>
    <w:tbl>
      <w:tblPr>
        <w:tblW w:w="0" w:type="auto"/>
        <w:tblInd w:w="112" w:type="dxa"/>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CellMar>
          <w:left w:w="0" w:type="dxa"/>
          <w:right w:w="0" w:type="dxa"/>
        </w:tblCellMar>
        <w:tblLook w:val="01E0" w:firstRow="1" w:lastRow="1" w:firstColumn="1" w:lastColumn="1" w:noHBand="0" w:noVBand="0"/>
      </w:tblPr>
      <w:tblGrid>
        <w:gridCol w:w="2044"/>
        <w:gridCol w:w="1239"/>
        <w:gridCol w:w="800"/>
        <w:gridCol w:w="2039"/>
        <w:gridCol w:w="2039"/>
        <w:gridCol w:w="904"/>
        <w:gridCol w:w="1134"/>
      </w:tblGrid>
      <w:tr w:rsidR="00724AE5" w:rsidRPr="0033712A" w14:paraId="070735E5" w14:textId="77777777">
        <w:trPr>
          <w:trHeight w:val="288"/>
        </w:trPr>
        <w:tc>
          <w:tcPr>
            <w:tcW w:w="2044" w:type="dxa"/>
            <w:tcBorders>
              <w:left w:val="single" w:sz="2" w:space="0" w:color="000000"/>
              <w:bottom w:val="nil"/>
            </w:tcBorders>
          </w:tcPr>
          <w:p w14:paraId="52C05AD3" w14:textId="77777777" w:rsidR="00724AE5" w:rsidRPr="0033712A" w:rsidRDefault="00AD4E2D" w:rsidP="00AD4E2D">
            <w:pPr>
              <w:pStyle w:val="TableParagraph"/>
              <w:spacing w:line="228" w:lineRule="auto"/>
              <w:ind w:left="20"/>
              <w:rPr>
                <w:snapToGrid w:val="0"/>
              </w:rPr>
            </w:pPr>
            <w:r w:rsidRPr="0033712A">
              <w:rPr>
                <w:snapToGrid w:val="0"/>
                <w:lang w:val="fr"/>
              </w:rPr>
              <w:t>Contrôle Qualité (CQ)</w:t>
            </w:r>
          </w:p>
        </w:tc>
        <w:tc>
          <w:tcPr>
            <w:tcW w:w="1239" w:type="dxa"/>
            <w:tcBorders>
              <w:bottom w:val="nil"/>
              <w:right w:val="nil"/>
            </w:tcBorders>
          </w:tcPr>
          <w:p w14:paraId="38693D86" w14:textId="77777777" w:rsidR="00724AE5" w:rsidRPr="0033712A" w:rsidRDefault="00AD4E2D" w:rsidP="00AD4E2D">
            <w:pPr>
              <w:pStyle w:val="TableParagraph"/>
              <w:spacing w:line="228" w:lineRule="auto"/>
              <w:ind w:left="0" w:right="57"/>
              <w:jc w:val="center"/>
              <w:rPr>
                <w:snapToGrid w:val="0"/>
              </w:rPr>
            </w:pPr>
            <w:r w:rsidRPr="0033712A">
              <w:rPr>
                <w:snapToGrid w:val="0"/>
                <w:lang w:val="fr"/>
              </w:rPr>
              <w:t>27/07/11</w:t>
            </w:r>
          </w:p>
        </w:tc>
        <w:tc>
          <w:tcPr>
            <w:tcW w:w="800" w:type="dxa"/>
            <w:tcBorders>
              <w:left w:val="nil"/>
              <w:bottom w:val="nil"/>
            </w:tcBorders>
          </w:tcPr>
          <w:p w14:paraId="386A1499" w14:textId="77777777" w:rsidR="00724AE5" w:rsidRPr="0033712A" w:rsidRDefault="00AD4E2D" w:rsidP="00AD4E2D">
            <w:pPr>
              <w:pStyle w:val="TableParagraph"/>
              <w:spacing w:line="228" w:lineRule="auto"/>
              <w:ind w:left="74"/>
              <w:rPr>
                <w:snapToGrid w:val="0"/>
              </w:rPr>
            </w:pPr>
            <w:r w:rsidRPr="0033712A">
              <w:rPr>
                <w:snapToGrid w:val="0"/>
                <w:lang w:val="fr"/>
              </w:rPr>
              <w:t>-</w:t>
            </w:r>
          </w:p>
        </w:tc>
        <w:tc>
          <w:tcPr>
            <w:tcW w:w="2039" w:type="dxa"/>
            <w:tcBorders>
              <w:bottom w:val="nil"/>
            </w:tcBorders>
          </w:tcPr>
          <w:p w14:paraId="58A50008" w14:textId="77777777" w:rsidR="00724AE5" w:rsidRPr="0033712A" w:rsidRDefault="00AD4E2D" w:rsidP="00AD4E2D">
            <w:pPr>
              <w:pStyle w:val="TableParagraph"/>
              <w:spacing w:line="228" w:lineRule="auto"/>
              <w:ind w:left="0" w:right="130"/>
              <w:jc w:val="center"/>
              <w:rPr>
                <w:snapToGrid w:val="0"/>
              </w:rPr>
            </w:pPr>
            <w:r w:rsidRPr="0033712A">
              <w:rPr>
                <w:snapToGrid w:val="0"/>
                <w:lang w:val="fr"/>
              </w:rPr>
              <w:t>Moyenne (mmol/L)</w:t>
            </w:r>
          </w:p>
        </w:tc>
        <w:tc>
          <w:tcPr>
            <w:tcW w:w="2039" w:type="dxa"/>
            <w:vMerge w:val="restart"/>
          </w:tcPr>
          <w:p w14:paraId="4CFF1390" w14:textId="77777777" w:rsidR="00724AE5" w:rsidRPr="0033712A" w:rsidRDefault="00AD4E2D" w:rsidP="00AD4E2D">
            <w:pPr>
              <w:pStyle w:val="TableParagraph"/>
              <w:spacing w:line="228" w:lineRule="auto"/>
              <w:ind w:left="9"/>
              <w:rPr>
                <w:snapToGrid w:val="0"/>
              </w:rPr>
            </w:pPr>
            <w:r w:rsidRPr="0033712A">
              <w:rPr>
                <w:snapToGrid w:val="0"/>
                <w:lang w:val="fr"/>
              </w:rPr>
              <w:t>Écart-type (μc)</w:t>
            </w:r>
          </w:p>
        </w:tc>
        <w:tc>
          <w:tcPr>
            <w:tcW w:w="2038" w:type="dxa"/>
            <w:gridSpan w:val="2"/>
            <w:tcBorders>
              <w:bottom w:val="nil"/>
            </w:tcBorders>
          </w:tcPr>
          <w:p w14:paraId="709E614A" w14:textId="77777777" w:rsidR="00724AE5" w:rsidRPr="0033712A" w:rsidRDefault="00AD4E2D" w:rsidP="00AD4E2D">
            <w:pPr>
              <w:pStyle w:val="TableParagraph"/>
              <w:spacing w:line="228" w:lineRule="auto"/>
              <w:ind w:left="9"/>
              <w:rPr>
                <w:i/>
                <w:snapToGrid w:val="0"/>
              </w:rPr>
            </w:pPr>
            <w:r w:rsidRPr="0033712A">
              <w:rPr>
                <w:snapToGrid w:val="0"/>
                <w:lang w:val="fr"/>
              </w:rPr>
              <w:t>Écart-type 2 (</w:t>
            </w:r>
            <w:r w:rsidRPr="0033712A">
              <w:rPr>
                <w:i/>
                <w:iCs/>
                <w:snapToGrid w:val="0"/>
                <w:lang w:val="fr"/>
              </w:rPr>
              <w:t>U</w:t>
            </w:r>
            <w:r w:rsidRPr="0033712A">
              <w:rPr>
                <w:snapToGrid w:val="0"/>
                <w:lang w:val="fr"/>
              </w:rPr>
              <w:t>) (</w:t>
            </w:r>
            <w:r w:rsidRPr="0033712A">
              <w:rPr>
                <w:i/>
                <w:iCs/>
                <w:snapToGrid w:val="0"/>
                <w:lang w:val="fr"/>
              </w:rPr>
              <w:t>U</w:t>
            </w:r>
          </w:p>
        </w:tc>
      </w:tr>
      <w:tr w:rsidR="00724AE5" w:rsidRPr="0033712A" w14:paraId="17D28513" w14:textId="77777777" w:rsidTr="0033712A">
        <w:trPr>
          <w:trHeight w:val="311"/>
        </w:trPr>
        <w:tc>
          <w:tcPr>
            <w:tcW w:w="2044" w:type="dxa"/>
            <w:tcBorders>
              <w:top w:val="nil"/>
              <w:left w:val="single" w:sz="2" w:space="0" w:color="000000"/>
            </w:tcBorders>
          </w:tcPr>
          <w:p w14:paraId="3AAB35C8" w14:textId="77777777" w:rsidR="00724AE5" w:rsidRPr="0033712A" w:rsidRDefault="00724AE5" w:rsidP="00AD4E2D">
            <w:pPr>
              <w:pStyle w:val="TableParagraph"/>
              <w:spacing w:before="0" w:line="228" w:lineRule="auto"/>
              <w:ind w:left="0"/>
              <w:rPr>
                <w:rFonts w:ascii="Times New Roman"/>
                <w:snapToGrid w:val="0"/>
              </w:rPr>
            </w:pPr>
          </w:p>
        </w:tc>
        <w:tc>
          <w:tcPr>
            <w:tcW w:w="1239" w:type="dxa"/>
            <w:tcBorders>
              <w:top w:val="nil"/>
              <w:right w:val="nil"/>
            </w:tcBorders>
          </w:tcPr>
          <w:p w14:paraId="553B1E36" w14:textId="77777777" w:rsidR="00724AE5" w:rsidRPr="0033712A" w:rsidRDefault="00AD4E2D" w:rsidP="00AD4E2D">
            <w:pPr>
              <w:pStyle w:val="TableParagraph"/>
              <w:spacing w:before="8" w:line="228" w:lineRule="auto"/>
              <w:ind w:left="0" w:right="57"/>
              <w:jc w:val="center"/>
              <w:rPr>
                <w:snapToGrid w:val="0"/>
              </w:rPr>
            </w:pPr>
            <w:r w:rsidRPr="0033712A">
              <w:rPr>
                <w:snapToGrid w:val="0"/>
                <w:lang w:val="fr"/>
              </w:rPr>
              <w:t>14/09/11</w:t>
            </w:r>
          </w:p>
        </w:tc>
        <w:tc>
          <w:tcPr>
            <w:tcW w:w="800" w:type="dxa"/>
            <w:tcBorders>
              <w:top w:val="nil"/>
              <w:left w:val="nil"/>
            </w:tcBorders>
          </w:tcPr>
          <w:p w14:paraId="5802CE50" w14:textId="77777777" w:rsidR="00724AE5" w:rsidRPr="0033712A" w:rsidRDefault="00724AE5" w:rsidP="00AD4E2D">
            <w:pPr>
              <w:pStyle w:val="TableParagraph"/>
              <w:spacing w:before="0" w:line="228" w:lineRule="auto"/>
              <w:ind w:left="0"/>
              <w:rPr>
                <w:rFonts w:ascii="Times New Roman"/>
                <w:snapToGrid w:val="0"/>
              </w:rPr>
            </w:pPr>
          </w:p>
        </w:tc>
        <w:tc>
          <w:tcPr>
            <w:tcW w:w="2039" w:type="dxa"/>
            <w:tcBorders>
              <w:top w:val="nil"/>
            </w:tcBorders>
          </w:tcPr>
          <w:p w14:paraId="7EB1C4F3" w14:textId="77777777" w:rsidR="00724AE5" w:rsidRPr="0033712A" w:rsidRDefault="00724AE5" w:rsidP="00AD4E2D">
            <w:pPr>
              <w:pStyle w:val="TableParagraph"/>
              <w:spacing w:before="0" w:line="228" w:lineRule="auto"/>
              <w:ind w:left="0"/>
              <w:rPr>
                <w:rFonts w:ascii="Times New Roman"/>
                <w:snapToGrid w:val="0"/>
              </w:rPr>
            </w:pPr>
          </w:p>
        </w:tc>
        <w:tc>
          <w:tcPr>
            <w:tcW w:w="2039" w:type="dxa"/>
            <w:vMerge/>
            <w:tcBorders>
              <w:top w:val="nil"/>
            </w:tcBorders>
          </w:tcPr>
          <w:p w14:paraId="04DDA215" w14:textId="77777777" w:rsidR="00724AE5" w:rsidRPr="0033712A" w:rsidRDefault="00724AE5" w:rsidP="00AD4E2D">
            <w:pPr>
              <w:spacing w:line="228" w:lineRule="auto"/>
              <w:rPr>
                <w:snapToGrid w:val="0"/>
              </w:rPr>
            </w:pPr>
          </w:p>
        </w:tc>
        <w:tc>
          <w:tcPr>
            <w:tcW w:w="2038" w:type="dxa"/>
            <w:gridSpan w:val="2"/>
            <w:tcBorders>
              <w:top w:val="nil"/>
            </w:tcBorders>
          </w:tcPr>
          <w:p w14:paraId="459FA039" w14:textId="77777777" w:rsidR="00724AE5" w:rsidRPr="0033712A" w:rsidRDefault="00AD4E2D" w:rsidP="00AD4E2D">
            <w:pPr>
              <w:pStyle w:val="TableParagraph"/>
              <w:spacing w:before="8" w:line="228" w:lineRule="auto"/>
              <w:ind w:left="9"/>
              <w:rPr>
                <w:snapToGrid w:val="0"/>
              </w:rPr>
            </w:pPr>
            <w:r w:rsidRPr="0033712A">
              <w:rPr>
                <w:snapToGrid w:val="0"/>
                <w:lang w:val="fr"/>
              </w:rPr>
              <w:t>= 2 x μc)</w:t>
            </w:r>
          </w:p>
        </w:tc>
      </w:tr>
      <w:tr w:rsidR="00724AE5" w:rsidRPr="0033712A" w14:paraId="790E2999" w14:textId="77777777" w:rsidTr="0033712A">
        <w:trPr>
          <w:trHeight w:val="608"/>
        </w:trPr>
        <w:tc>
          <w:tcPr>
            <w:tcW w:w="2044" w:type="dxa"/>
            <w:tcBorders>
              <w:left w:val="single" w:sz="2" w:space="0" w:color="000000"/>
            </w:tcBorders>
          </w:tcPr>
          <w:p w14:paraId="0247DFA1" w14:textId="77777777" w:rsidR="00724AE5" w:rsidRPr="0033712A" w:rsidRDefault="00AD4E2D" w:rsidP="00AD4E2D">
            <w:pPr>
              <w:pStyle w:val="TableParagraph"/>
              <w:spacing w:line="228" w:lineRule="auto"/>
              <w:ind w:left="20"/>
              <w:rPr>
                <w:snapToGrid w:val="0"/>
              </w:rPr>
            </w:pPr>
            <w:proofErr w:type="gramStart"/>
            <w:r w:rsidRPr="0033712A">
              <w:rPr>
                <w:snapToGrid w:val="0"/>
                <w:lang w:val="fr"/>
              </w:rPr>
              <w:t>niveau</w:t>
            </w:r>
            <w:proofErr w:type="gramEnd"/>
            <w:r w:rsidRPr="0033712A">
              <w:rPr>
                <w:snapToGrid w:val="0"/>
                <w:lang w:val="fr"/>
              </w:rPr>
              <w:t> 1</w:t>
            </w:r>
          </w:p>
        </w:tc>
        <w:tc>
          <w:tcPr>
            <w:tcW w:w="2039" w:type="dxa"/>
            <w:gridSpan w:val="2"/>
          </w:tcPr>
          <w:p w14:paraId="1A5AE008" w14:textId="77777777" w:rsidR="00724AE5" w:rsidRPr="0033712A" w:rsidRDefault="00AD4E2D" w:rsidP="00AD4E2D">
            <w:pPr>
              <w:pStyle w:val="TableParagraph"/>
              <w:spacing w:line="228" w:lineRule="auto"/>
              <w:ind w:left="0" w:right="3"/>
              <w:jc w:val="center"/>
              <w:rPr>
                <w:snapToGrid w:val="0"/>
              </w:rPr>
            </w:pPr>
            <w:proofErr w:type="gramStart"/>
            <w:r w:rsidRPr="0033712A">
              <w:rPr>
                <w:snapToGrid w:val="0"/>
                <w:lang w:val="fr"/>
              </w:rPr>
              <w:t>n</w:t>
            </w:r>
            <w:proofErr w:type="gramEnd"/>
            <w:r w:rsidRPr="0033712A">
              <w:rPr>
                <w:snapToGrid w:val="0"/>
                <w:lang w:val="fr"/>
              </w:rPr>
              <w:t> = 86</w:t>
            </w:r>
          </w:p>
        </w:tc>
        <w:tc>
          <w:tcPr>
            <w:tcW w:w="2039" w:type="dxa"/>
          </w:tcPr>
          <w:p w14:paraId="2B5163C2" w14:textId="77777777" w:rsidR="00724AE5" w:rsidRPr="0033712A" w:rsidRDefault="00AD4E2D" w:rsidP="00AD4E2D">
            <w:pPr>
              <w:pStyle w:val="TableParagraph"/>
              <w:spacing w:line="228" w:lineRule="auto"/>
              <w:ind w:left="0" w:right="3"/>
              <w:jc w:val="center"/>
              <w:rPr>
                <w:snapToGrid w:val="0"/>
              </w:rPr>
            </w:pPr>
            <w:r w:rsidRPr="0033712A">
              <w:rPr>
                <w:snapToGrid w:val="0"/>
                <w:lang w:val="fr"/>
              </w:rPr>
              <w:t>4,9</w:t>
            </w:r>
          </w:p>
        </w:tc>
        <w:tc>
          <w:tcPr>
            <w:tcW w:w="2039" w:type="dxa"/>
          </w:tcPr>
          <w:p w14:paraId="6C6CD394" w14:textId="77777777" w:rsidR="00724AE5" w:rsidRPr="0033712A" w:rsidRDefault="00AD4E2D" w:rsidP="00AD4E2D">
            <w:pPr>
              <w:pStyle w:val="TableParagraph"/>
              <w:spacing w:line="228" w:lineRule="auto"/>
              <w:ind w:left="0" w:right="3"/>
              <w:jc w:val="center"/>
              <w:rPr>
                <w:snapToGrid w:val="0"/>
              </w:rPr>
            </w:pPr>
            <w:r w:rsidRPr="0033712A">
              <w:rPr>
                <w:snapToGrid w:val="0"/>
                <w:lang w:val="fr"/>
              </w:rPr>
              <w:t>0,12</w:t>
            </w:r>
          </w:p>
        </w:tc>
        <w:tc>
          <w:tcPr>
            <w:tcW w:w="904" w:type="dxa"/>
            <w:tcBorders>
              <w:right w:val="nil"/>
            </w:tcBorders>
          </w:tcPr>
          <w:p w14:paraId="25FDC742" w14:textId="77777777" w:rsidR="00724AE5" w:rsidRPr="0033712A" w:rsidRDefault="00AD4E2D" w:rsidP="0033712A">
            <w:pPr>
              <w:pStyle w:val="TableParagraph"/>
              <w:spacing w:line="228" w:lineRule="auto"/>
              <w:ind w:left="48"/>
              <w:rPr>
                <w:snapToGrid w:val="0"/>
              </w:rPr>
            </w:pPr>
            <w:r w:rsidRPr="0033712A">
              <w:rPr>
                <w:snapToGrid w:val="0"/>
                <w:lang w:val="fr"/>
              </w:rPr>
              <w:t>0,24 =</w:t>
            </w:r>
          </w:p>
        </w:tc>
        <w:tc>
          <w:tcPr>
            <w:tcW w:w="1134" w:type="dxa"/>
            <w:tcBorders>
              <w:left w:val="nil"/>
            </w:tcBorders>
          </w:tcPr>
          <w:p w14:paraId="13D1F76F" w14:textId="77777777" w:rsidR="00724AE5" w:rsidRPr="0033712A" w:rsidRDefault="00AD4E2D" w:rsidP="00AD4E2D">
            <w:pPr>
              <w:pStyle w:val="TableParagraph"/>
              <w:spacing w:line="228" w:lineRule="auto"/>
              <w:ind w:left="110"/>
              <w:rPr>
                <w:snapToGrid w:val="0"/>
              </w:rPr>
            </w:pPr>
            <w:proofErr w:type="gramStart"/>
            <w:r w:rsidRPr="0033712A">
              <w:rPr>
                <w:snapToGrid w:val="0"/>
                <w:lang w:val="fr"/>
              </w:rPr>
              <w:t>arrondi</w:t>
            </w:r>
            <w:proofErr w:type="gramEnd"/>
            <w:r w:rsidRPr="0033712A">
              <w:rPr>
                <w:snapToGrid w:val="0"/>
                <w:lang w:val="fr"/>
              </w:rPr>
              <w:t xml:space="preserve"> à 0,2</w:t>
            </w:r>
          </w:p>
        </w:tc>
      </w:tr>
      <w:tr w:rsidR="00724AE5" w:rsidRPr="0033712A" w14:paraId="3071A9AD" w14:textId="77777777" w:rsidTr="0033712A">
        <w:trPr>
          <w:trHeight w:val="302"/>
        </w:trPr>
        <w:tc>
          <w:tcPr>
            <w:tcW w:w="2044" w:type="dxa"/>
            <w:tcBorders>
              <w:left w:val="single" w:sz="2" w:space="0" w:color="000000"/>
            </w:tcBorders>
          </w:tcPr>
          <w:p w14:paraId="2F5ECF57" w14:textId="77777777" w:rsidR="00724AE5" w:rsidRPr="0033712A" w:rsidRDefault="00AD4E2D" w:rsidP="00AD4E2D">
            <w:pPr>
              <w:pStyle w:val="TableParagraph"/>
              <w:spacing w:line="228" w:lineRule="auto"/>
              <w:ind w:left="20"/>
              <w:rPr>
                <w:snapToGrid w:val="0"/>
              </w:rPr>
            </w:pPr>
            <w:proofErr w:type="gramStart"/>
            <w:r w:rsidRPr="0033712A">
              <w:rPr>
                <w:snapToGrid w:val="0"/>
                <w:lang w:val="fr"/>
              </w:rPr>
              <w:t>niveau</w:t>
            </w:r>
            <w:proofErr w:type="gramEnd"/>
            <w:r w:rsidRPr="0033712A">
              <w:rPr>
                <w:snapToGrid w:val="0"/>
                <w:lang w:val="fr"/>
              </w:rPr>
              <w:t> 2</w:t>
            </w:r>
          </w:p>
        </w:tc>
        <w:tc>
          <w:tcPr>
            <w:tcW w:w="2039" w:type="dxa"/>
            <w:gridSpan w:val="2"/>
          </w:tcPr>
          <w:p w14:paraId="634500B7" w14:textId="77777777" w:rsidR="00724AE5" w:rsidRPr="0033712A" w:rsidRDefault="00AD4E2D" w:rsidP="00AD4E2D">
            <w:pPr>
              <w:pStyle w:val="TableParagraph"/>
              <w:spacing w:line="228" w:lineRule="auto"/>
              <w:ind w:left="0" w:right="3"/>
              <w:jc w:val="center"/>
              <w:rPr>
                <w:snapToGrid w:val="0"/>
              </w:rPr>
            </w:pPr>
            <w:proofErr w:type="gramStart"/>
            <w:r w:rsidRPr="0033712A">
              <w:rPr>
                <w:snapToGrid w:val="0"/>
                <w:lang w:val="fr"/>
              </w:rPr>
              <w:t>n</w:t>
            </w:r>
            <w:proofErr w:type="gramEnd"/>
            <w:r w:rsidRPr="0033712A">
              <w:rPr>
                <w:snapToGrid w:val="0"/>
                <w:lang w:val="fr"/>
              </w:rPr>
              <w:t> = 86</w:t>
            </w:r>
          </w:p>
        </w:tc>
        <w:tc>
          <w:tcPr>
            <w:tcW w:w="2039" w:type="dxa"/>
          </w:tcPr>
          <w:p w14:paraId="69394A97" w14:textId="77777777" w:rsidR="00724AE5" w:rsidRPr="0033712A" w:rsidRDefault="00AD4E2D" w:rsidP="00AD4E2D">
            <w:pPr>
              <w:pStyle w:val="TableParagraph"/>
              <w:spacing w:line="228" w:lineRule="auto"/>
              <w:ind w:left="0" w:right="3"/>
              <w:jc w:val="center"/>
              <w:rPr>
                <w:snapToGrid w:val="0"/>
              </w:rPr>
            </w:pPr>
            <w:r w:rsidRPr="0033712A">
              <w:rPr>
                <w:snapToGrid w:val="0"/>
                <w:lang w:val="fr"/>
              </w:rPr>
              <w:t>28,7</w:t>
            </w:r>
          </w:p>
        </w:tc>
        <w:tc>
          <w:tcPr>
            <w:tcW w:w="2039" w:type="dxa"/>
          </w:tcPr>
          <w:p w14:paraId="55EF6217" w14:textId="77777777" w:rsidR="00724AE5" w:rsidRPr="0033712A" w:rsidRDefault="00AD4E2D" w:rsidP="00AD4E2D">
            <w:pPr>
              <w:pStyle w:val="TableParagraph"/>
              <w:spacing w:line="228" w:lineRule="auto"/>
              <w:ind w:left="0" w:right="3"/>
              <w:jc w:val="center"/>
              <w:rPr>
                <w:snapToGrid w:val="0"/>
              </w:rPr>
            </w:pPr>
            <w:r w:rsidRPr="0033712A">
              <w:rPr>
                <w:snapToGrid w:val="0"/>
                <w:lang w:val="fr"/>
              </w:rPr>
              <w:t>0,73</w:t>
            </w:r>
          </w:p>
        </w:tc>
        <w:tc>
          <w:tcPr>
            <w:tcW w:w="904" w:type="dxa"/>
            <w:tcBorders>
              <w:right w:val="nil"/>
            </w:tcBorders>
          </w:tcPr>
          <w:p w14:paraId="5B92E106" w14:textId="77777777" w:rsidR="00724AE5" w:rsidRPr="0033712A" w:rsidRDefault="00AD4E2D" w:rsidP="0033712A">
            <w:pPr>
              <w:pStyle w:val="TableParagraph"/>
              <w:spacing w:line="228" w:lineRule="auto"/>
              <w:ind w:left="48"/>
              <w:jc w:val="center"/>
              <w:rPr>
                <w:snapToGrid w:val="0"/>
              </w:rPr>
            </w:pPr>
            <w:r w:rsidRPr="0033712A">
              <w:rPr>
                <w:snapToGrid w:val="0"/>
                <w:lang w:val="fr"/>
              </w:rPr>
              <w:t>1,46 =</w:t>
            </w:r>
          </w:p>
        </w:tc>
        <w:tc>
          <w:tcPr>
            <w:tcW w:w="1134" w:type="dxa"/>
            <w:tcBorders>
              <w:left w:val="nil"/>
            </w:tcBorders>
          </w:tcPr>
          <w:p w14:paraId="2CCF86C3" w14:textId="77777777" w:rsidR="00724AE5" w:rsidRPr="0033712A" w:rsidRDefault="00AD4E2D" w:rsidP="00AD4E2D">
            <w:pPr>
              <w:pStyle w:val="TableParagraph"/>
              <w:spacing w:line="228" w:lineRule="auto"/>
              <w:ind w:left="38"/>
              <w:rPr>
                <w:snapToGrid w:val="0"/>
              </w:rPr>
            </w:pPr>
            <w:proofErr w:type="gramStart"/>
            <w:r w:rsidRPr="0033712A">
              <w:rPr>
                <w:snapToGrid w:val="0"/>
                <w:lang w:val="fr"/>
              </w:rPr>
              <w:t>arrondi</w:t>
            </w:r>
            <w:proofErr w:type="gramEnd"/>
            <w:r w:rsidRPr="0033712A">
              <w:rPr>
                <w:snapToGrid w:val="0"/>
                <w:lang w:val="fr"/>
              </w:rPr>
              <w:t xml:space="preserve"> à 1,5</w:t>
            </w:r>
          </w:p>
        </w:tc>
      </w:tr>
    </w:tbl>
    <w:p w14:paraId="13872C97" w14:textId="77777777" w:rsidR="00070B74" w:rsidRPr="0077726F" w:rsidRDefault="00070B74" w:rsidP="00AD4E2D">
      <w:pPr>
        <w:pStyle w:val="BodyText"/>
        <w:spacing w:line="228" w:lineRule="auto"/>
        <w:ind w:left="115" w:right="230"/>
        <w:rPr>
          <w:snapToGrid w:val="0"/>
          <w:sz w:val="4"/>
          <w:szCs w:val="4"/>
        </w:rPr>
      </w:pPr>
    </w:p>
    <w:p w14:paraId="43C64F0F" w14:textId="77777777" w:rsidR="00724AE5" w:rsidRPr="0042503D" w:rsidRDefault="00AD4E2D" w:rsidP="00AD4E2D">
      <w:pPr>
        <w:pStyle w:val="BodyText"/>
        <w:spacing w:line="228" w:lineRule="auto"/>
        <w:ind w:left="115" w:right="230"/>
        <w:rPr>
          <w:snapToGrid w:val="0"/>
          <w:lang w:val="fr-FR"/>
        </w:rPr>
      </w:pPr>
      <w:r>
        <w:rPr>
          <w:snapToGrid w:val="0"/>
          <w:lang w:val="fr"/>
        </w:rPr>
        <w:lastRenderedPageBreak/>
        <w:t>L’imprécision évaluée dans des conditions de reproductibilité intermédiaire est utilisée pour le calcul de la MU. Étant donné que les résultats des patients sont exprimés avec une décimale, l’incertitude de mesure MU élargie (U) est également arrondie à un chiffre décimal, selon les règles d’arrondi applicables. Ainsi, les résultats des patients dans les plages couvertes par :</w:t>
      </w:r>
    </w:p>
    <w:p w14:paraId="29D3C0C0" w14:textId="77777777" w:rsidR="00724AE5" w:rsidRPr="0042503D" w:rsidRDefault="00AD4E2D" w:rsidP="0033712A">
      <w:pPr>
        <w:pStyle w:val="BodyText"/>
        <w:spacing w:before="200" w:line="228" w:lineRule="auto"/>
        <w:ind w:right="233"/>
        <w:rPr>
          <w:snapToGrid w:val="0"/>
          <w:lang w:val="fr-FR"/>
        </w:rPr>
      </w:pPr>
      <w:r>
        <w:rPr>
          <w:snapToGrid w:val="0"/>
          <w:lang w:val="fr"/>
        </w:rPr>
        <w:t>CQ de niveau 1 : x1 ± 0,2 mmol/L (intervalle de confiance à 95,5 %) ; CQ de niveau 2 : x2 ± 1,5 mmol/L (intervalle de confiance à 95,5 %).</w:t>
      </w:r>
    </w:p>
    <w:p w14:paraId="3B965879" w14:textId="77777777" w:rsidR="00724AE5" w:rsidRPr="0042503D" w:rsidRDefault="00AD4E2D" w:rsidP="0033712A">
      <w:pPr>
        <w:pStyle w:val="BodyText"/>
        <w:spacing w:before="200" w:line="228" w:lineRule="auto"/>
        <w:ind w:right="233"/>
        <w:rPr>
          <w:snapToGrid w:val="0"/>
          <w:lang w:val="fr-FR"/>
        </w:rPr>
      </w:pPr>
      <w:r>
        <w:rPr>
          <w:snapToGrid w:val="0"/>
          <w:lang w:val="fr"/>
        </w:rPr>
        <w:t>Exemples : Résultat du patient 1 : 6,3 ± 0,2 mmol/L (~95 % de confiance). Cela signifie que le laboratoire estime, avec un niveau de confiance d’environ 95 %, que la valeur réelle se situe dans l’intervalle 6,1 à 6,5 </w:t>
      </w:r>
      <w:proofErr w:type="spellStart"/>
      <w:r>
        <w:rPr>
          <w:snapToGrid w:val="0"/>
          <w:lang w:val="fr"/>
        </w:rPr>
        <w:t>mmol</w:t>
      </w:r>
      <w:proofErr w:type="spellEnd"/>
      <w:r>
        <w:rPr>
          <w:snapToGrid w:val="0"/>
          <w:lang w:val="fr"/>
        </w:rPr>
        <w:t>/L.</w:t>
      </w:r>
    </w:p>
    <w:p w14:paraId="11CCE1D1" w14:textId="77777777" w:rsidR="00724AE5" w:rsidRPr="0042503D" w:rsidRDefault="00AD4E2D" w:rsidP="0033712A">
      <w:pPr>
        <w:pStyle w:val="BodyText"/>
        <w:spacing w:before="200" w:line="228" w:lineRule="auto"/>
        <w:ind w:right="521"/>
        <w:rPr>
          <w:snapToGrid w:val="0"/>
          <w:lang w:val="fr-FR"/>
        </w:rPr>
      </w:pPr>
      <w:r>
        <w:rPr>
          <w:snapToGrid w:val="0"/>
          <w:lang w:val="fr"/>
        </w:rPr>
        <w:t>Résultat du patient 2 : 34,6 ± 1,5 mmol/L (~95 % de confiance). Cela signifie que le laboratoire estime, avec un niveau de confiance d’environ 95 %, que la valeur réelle se situe dans l’intervalle 33,1 à 36,1 </w:t>
      </w:r>
      <w:proofErr w:type="spellStart"/>
      <w:r>
        <w:rPr>
          <w:snapToGrid w:val="0"/>
          <w:lang w:val="fr"/>
        </w:rPr>
        <w:t>mmol</w:t>
      </w:r>
      <w:proofErr w:type="spellEnd"/>
      <w:r>
        <w:rPr>
          <w:snapToGrid w:val="0"/>
          <w:lang w:val="fr"/>
        </w:rPr>
        <w:t>/L.</w:t>
      </w:r>
    </w:p>
    <w:p w14:paraId="7BFFC9D1" w14:textId="77777777" w:rsidR="00724AE5" w:rsidRPr="0042503D" w:rsidRDefault="00AD4E2D" w:rsidP="0033712A">
      <w:pPr>
        <w:pStyle w:val="BodyText"/>
        <w:spacing w:before="200" w:line="228" w:lineRule="auto"/>
        <w:ind w:right="233"/>
        <w:rPr>
          <w:snapToGrid w:val="0"/>
          <w:lang w:val="fr-FR"/>
        </w:rPr>
      </w:pPr>
      <w:r>
        <w:rPr>
          <w:snapToGrid w:val="0"/>
          <w:lang w:val="fr"/>
        </w:rPr>
        <w:t>La meilleure estimation de la valeur réelle demeure toujours la valeur mesurée et rapportée, mais l’expression de la MU de cette manière, permet d’indiquer que d’autres valeurs auraient pu être raisonnablement obtenues. Remarque : le terme erreur n’est pas employé ici, car la MU ne traite pas de l’erreur, mais de la probabilité de localisation de la valeur réelle. Remarque : le terme « valeur réelle » doit être compris en référence au système de référence utilisé pour la calibration, lequel peut correspondre à une valeur arbitrairement assignée, par exemple, les unités internationales de l’OMS.</w:t>
      </w:r>
    </w:p>
    <w:p w14:paraId="1EEE4E4A" w14:textId="77777777" w:rsidR="00724AE5" w:rsidRPr="0042503D" w:rsidRDefault="00AD4E2D" w:rsidP="00AD4E2D">
      <w:pPr>
        <w:pStyle w:val="Heading1"/>
        <w:spacing w:before="240" w:line="228" w:lineRule="auto"/>
        <w:rPr>
          <w:snapToGrid w:val="0"/>
          <w:lang w:val="fr-FR"/>
        </w:rPr>
      </w:pPr>
      <w:r>
        <w:rPr>
          <w:snapToGrid w:val="0"/>
          <w:lang w:val="fr"/>
        </w:rPr>
        <w:t>Que faire si le biais est jugé significatif ?</w:t>
      </w:r>
    </w:p>
    <w:p w14:paraId="373E2DFF" w14:textId="77777777" w:rsidR="00724AE5" w:rsidRPr="0042503D" w:rsidRDefault="00AD4E2D" w:rsidP="0033712A">
      <w:pPr>
        <w:pStyle w:val="BodyText"/>
        <w:spacing w:before="240" w:after="120" w:line="228" w:lineRule="auto"/>
        <w:ind w:right="233"/>
        <w:rPr>
          <w:snapToGrid w:val="0"/>
          <w:lang w:val="fr-FR"/>
        </w:rPr>
      </w:pPr>
      <w:r>
        <w:rPr>
          <w:snapToGrid w:val="0"/>
          <w:lang w:val="fr"/>
        </w:rPr>
        <w:t>Supposons que les résultats du dosage de la rhubarbe soient interprétés sur le plan clinique par rapport à des valeurs décisionnelles définies par un organisme international d’experts, et que des interprétations erronées puissent entraîner des conséquences médicales délétères. Dans ce cas, le biais de mesure devient un facteur important. Heureusement, le fabricant du dosage attribue les valeurs des étalons (calibrateurs) à l’aide d’un matériau de référence secondaire certifié (CRM) adapté à la matrice, et métrologiquement traçable à l’unité SI (la mole). Il affirme également que le calibrateur est commutable avec le matériau de référence certifié (CRM). Le laboratoire acquiert un flacon de matériau de référence certifié (CRM) et le mesure à 10 reprises dans des conditions de répétabilité.</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65"/>
        <w:gridCol w:w="1620"/>
        <w:gridCol w:w="1404"/>
        <w:gridCol w:w="1912"/>
        <w:gridCol w:w="1699"/>
        <w:gridCol w:w="1699"/>
      </w:tblGrid>
      <w:tr w:rsidR="00724AE5" w:rsidRPr="0042503D" w14:paraId="552A2908" w14:textId="77777777" w:rsidTr="0033712A">
        <w:trPr>
          <w:trHeight w:val="1172"/>
        </w:trPr>
        <w:tc>
          <w:tcPr>
            <w:tcW w:w="1865" w:type="dxa"/>
            <w:tcBorders>
              <w:bottom w:val="single" w:sz="8" w:space="0" w:color="000000"/>
              <w:right w:val="single" w:sz="8" w:space="0" w:color="000000"/>
            </w:tcBorders>
          </w:tcPr>
          <w:p w14:paraId="6777638E" w14:textId="77777777" w:rsidR="00724AE5" w:rsidRPr="0042503D" w:rsidRDefault="00724AE5" w:rsidP="00AD4E2D">
            <w:pPr>
              <w:pStyle w:val="TableParagraph"/>
              <w:spacing w:before="0" w:line="228" w:lineRule="auto"/>
              <w:ind w:left="0"/>
              <w:rPr>
                <w:rFonts w:ascii="Times New Roman"/>
                <w:snapToGrid w:val="0"/>
                <w:szCs w:val="21"/>
                <w:lang w:val="fr-FR"/>
              </w:rPr>
            </w:pPr>
          </w:p>
        </w:tc>
        <w:tc>
          <w:tcPr>
            <w:tcW w:w="1620" w:type="dxa"/>
            <w:tcBorders>
              <w:left w:val="single" w:sz="8" w:space="0" w:color="000000"/>
              <w:bottom w:val="single" w:sz="8" w:space="0" w:color="000000"/>
              <w:right w:val="single" w:sz="8" w:space="0" w:color="000000"/>
            </w:tcBorders>
          </w:tcPr>
          <w:p w14:paraId="6A332935" w14:textId="77777777" w:rsidR="00724AE5" w:rsidRPr="0042503D" w:rsidRDefault="00AD4E2D" w:rsidP="00AD4E2D">
            <w:pPr>
              <w:pStyle w:val="TableParagraph"/>
              <w:spacing w:before="31" w:line="228" w:lineRule="auto"/>
              <w:rPr>
                <w:b/>
                <w:snapToGrid w:val="0"/>
                <w:szCs w:val="21"/>
              </w:rPr>
            </w:pPr>
            <w:r w:rsidRPr="0042503D">
              <w:rPr>
                <w:b/>
                <w:bCs/>
                <w:snapToGrid w:val="0"/>
                <w:szCs w:val="21"/>
                <w:lang w:val="fr"/>
              </w:rPr>
              <w:t>Valeur certifiée</w:t>
            </w:r>
          </w:p>
        </w:tc>
        <w:tc>
          <w:tcPr>
            <w:tcW w:w="1404" w:type="dxa"/>
            <w:tcBorders>
              <w:left w:val="single" w:sz="8" w:space="0" w:color="000000"/>
              <w:bottom w:val="single" w:sz="8" w:space="0" w:color="000000"/>
              <w:right w:val="single" w:sz="8" w:space="0" w:color="000000"/>
            </w:tcBorders>
          </w:tcPr>
          <w:p w14:paraId="47C0C24D" w14:textId="77777777" w:rsidR="00724AE5" w:rsidRPr="0042503D" w:rsidRDefault="00AD4E2D" w:rsidP="00AD4E2D">
            <w:pPr>
              <w:pStyle w:val="TableParagraph"/>
              <w:spacing w:before="31" w:line="228" w:lineRule="auto"/>
              <w:rPr>
                <w:b/>
                <w:snapToGrid w:val="0"/>
                <w:szCs w:val="21"/>
              </w:rPr>
            </w:pPr>
            <w:r w:rsidRPr="0042503D">
              <w:rPr>
                <w:b/>
                <w:bCs/>
                <w:snapToGrid w:val="0"/>
                <w:szCs w:val="21"/>
                <w:lang w:val="fr"/>
              </w:rPr>
              <w:t>Écart-type 1 (</w:t>
            </w:r>
            <w:r w:rsidRPr="0042503D">
              <w:rPr>
                <w:snapToGrid w:val="0"/>
                <w:szCs w:val="21"/>
                <w:lang w:val="fr"/>
              </w:rPr>
              <w:t>μc</w:t>
            </w:r>
            <w:r w:rsidRPr="0042503D">
              <w:rPr>
                <w:b/>
                <w:bCs/>
                <w:snapToGrid w:val="0"/>
                <w:szCs w:val="21"/>
                <w:lang w:val="fr"/>
              </w:rPr>
              <w:t>)</w:t>
            </w:r>
          </w:p>
        </w:tc>
        <w:tc>
          <w:tcPr>
            <w:tcW w:w="1912" w:type="dxa"/>
            <w:tcBorders>
              <w:left w:val="single" w:sz="8" w:space="0" w:color="000000"/>
              <w:bottom w:val="single" w:sz="8" w:space="0" w:color="000000"/>
              <w:right w:val="single" w:sz="8" w:space="0" w:color="000000"/>
            </w:tcBorders>
          </w:tcPr>
          <w:p w14:paraId="48EADAF7" w14:textId="77777777" w:rsidR="00724AE5" w:rsidRPr="0042503D" w:rsidRDefault="00AD4E2D" w:rsidP="00AD4E2D">
            <w:pPr>
              <w:pStyle w:val="TableParagraph"/>
              <w:spacing w:line="228" w:lineRule="auto"/>
              <w:rPr>
                <w:b/>
                <w:snapToGrid w:val="0"/>
                <w:szCs w:val="21"/>
                <w:lang w:val="fr-FR"/>
              </w:rPr>
            </w:pPr>
            <w:r w:rsidRPr="0042503D">
              <w:rPr>
                <w:b/>
                <w:bCs/>
                <w:snapToGrid w:val="0"/>
                <w:szCs w:val="21"/>
                <w:lang w:val="fr"/>
              </w:rPr>
              <w:t>Étude de répétabilité en laboratoire (n = 10)</w:t>
            </w:r>
          </w:p>
        </w:tc>
        <w:tc>
          <w:tcPr>
            <w:tcW w:w="1699" w:type="dxa"/>
            <w:tcBorders>
              <w:left w:val="single" w:sz="8" w:space="0" w:color="000000"/>
              <w:bottom w:val="single" w:sz="8" w:space="0" w:color="000000"/>
              <w:right w:val="single" w:sz="8" w:space="0" w:color="000000"/>
            </w:tcBorders>
          </w:tcPr>
          <w:p w14:paraId="74DF0B25" w14:textId="77777777" w:rsidR="00724AE5" w:rsidRPr="0042503D" w:rsidRDefault="00AD4E2D" w:rsidP="00AD4E2D">
            <w:pPr>
              <w:pStyle w:val="TableParagraph"/>
              <w:spacing w:before="31" w:line="228" w:lineRule="auto"/>
              <w:rPr>
                <w:b/>
                <w:snapToGrid w:val="0"/>
                <w:szCs w:val="21"/>
              </w:rPr>
            </w:pPr>
            <w:r w:rsidRPr="0042503D">
              <w:rPr>
                <w:b/>
                <w:bCs/>
                <w:snapToGrid w:val="0"/>
                <w:szCs w:val="21"/>
                <w:lang w:val="fr"/>
              </w:rPr>
              <w:t>Écart-type 1 (</w:t>
            </w:r>
            <w:proofErr w:type="spellStart"/>
            <w:r w:rsidRPr="0042503D">
              <w:rPr>
                <w:snapToGrid w:val="0"/>
                <w:szCs w:val="21"/>
                <w:lang w:val="fr"/>
              </w:rPr>
              <w:t>μc</w:t>
            </w:r>
            <w:proofErr w:type="spellEnd"/>
            <w:r w:rsidRPr="0042503D">
              <w:rPr>
                <w:b/>
                <w:bCs/>
                <w:snapToGrid w:val="0"/>
                <w:szCs w:val="21"/>
                <w:lang w:val="fr"/>
              </w:rPr>
              <w:t>)</w:t>
            </w:r>
          </w:p>
        </w:tc>
        <w:tc>
          <w:tcPr>
            <w:tcW w:w="1699" w:type="dxa"/>
            <w:tcBorders>
              <w:left w:val="single" w:sz="8" w:space="0" w:color="000000"/>
              <w:bottom w:val="single" w:sz="8" w:space="0" w:color="000000"/>
              <w:right w:val="single" w:sz="8" w:space="0" w:color="000000"/>
            </w:tcBorders>
          </w:tcPr>
          <w:p w14:paraId="2BBB8D58" w14:textId="77777777" w:rsidR="00724AE5" w:rsidRPr="0042503D" w:rsidRDefault="00AD4E2D" w:rsidP="00AD4E2D">
            <w:pPr>
              <w:pStyle w:val="TableParagraph"/>
              <w:spacing w:before="31" w:line="228" w:lineRule="auto"/>
              <w:rPr>
                <w:b/>
                <w:snapToGrid w:val="0"/>
                <w:szCs w:val="21"/>
              </w:rPr>
            </w:pPr>
            <w:r w:rsidRPr="0042503D">
              <w:rPr>
                <w:b/>
                <w:bCs/>
                <w:snapToGrid w:val="0"/>
                <w:szCs w:val="21"/>
                <w:lang w:val="fr"/>
              </w:rPr>
              <w:t>Biais</w:t>
            </w:r>
          </w:p>
        </w:tc>
      </w:tr>
      <w:tr w:rsidR="00724AE5" w:rsidRPr="0042503D" w14:paraId="34228607" w14:textId="77777777" w:rsidTr="0033712A">
        <w:trPr>
          <w:trHeight w:val="1035"/>
        </w:trPr>
        <w:tc>
          <w:tcPr>
            <w:tcW w:w="1865" w:type="dxa"/>
            <w:tcBorders>
              <w:top w:val="single" w:sz="8" w:space="0" w:color="000000"/>
              <w:right w:val="single" w:sz="8" w:space="0" w:color="000000"/>
            </w:tcBorders>
          </w:tcPr>
          <w:p w14:paraId="4D74FD5C" w14:textId="77777777" w:rsidR="00724AE5" w:rsidRPr="0042503D" w:rsidRDefault="00AD4E2D" w:rsidP="00AD4E2D">
            <w:pPr>
              <w:pStyle w:val="TableParagraph"/>
              <w:spacing w:before="21" w:line="228" w:lineRule="auto"/>
              <w:ind w:left="25"/>
              <w:rPr>
                <w:snapToGrid w:val="0"/>
                <w:szCs w:val="21"/>
                <w:lang w:val="fr-FR"/>
              </w:rPr>
            </w:pPr>
            <w:r w:rsidRPr="0042503D">
              <w:rPr>
                <w:snapToGrid w:val="0"/>
                <w:szCs w:val="21"/>
                <w:lang w:val="fr"/>
              </w:rPr>
              <w:t>MATÉRIAU DE RÉFÉRENCE CERTIFIÉ (CRM)</w:t>
            </w:r>
          </w:p>
        </w:tc>
        <w:tc>
          <w:tcPr>
            <w:tcW w:w="1620" w:type="dxa"/>
            <w:tcBorders>
              <w:top w:val="single" w:sz="8" w:space="0" w:color="000000"/>
              <w:left w:val="single" w:sz="8" w:space="0" w:color="000000"/>
              <w:right w:val="single" w:sz="8" w:space="0" w:color="000000"/>
            </w:tcBorders>
          </w:tcPr>
          <w:p w14:paraId="1C288A04" w14:textId="77777777" w:rsidR="00724AE5" w:rsidRPr="0042503D" w:rsidRDefault="00AD4E2D" w:rsidP="00AD4E2D">
            <w:pPr>
              <w:pStyle w:val="TableParagraph"/>
              <w:spacing w:before="21" w:line="228" w:lineRule="auto"/>
              <w:rPr>
                <w:snapToGrid w:val="0"/>
                <w:szCs w:val="21"/>
              </w:rPr>
            </w:pPr>
            <w:r w:rsidRPr="0042503D">
              <w:rPr>
                <w:snapToGrid w:val="0"/>
                <w:szCs w:val="21"/>
                <w:lang w:val="fr"/>
              </w:rPr>
              <w:t>3,87 ± 0,028 </w:t>
            </w:r>
            <w:proofErr w:type="spellStart"/>
            <w:r w:rsidRPr="0042503D">
              <w:rPr>
                <w:snapToGrid w:val="0"/>
                <w:szCs w:val="21"/>
                <w:lang w:val="fr"/>
              </w:rPr>
              <w:t>mmol</w:t>
            </w:r>
            <w:proofErr w:type="spellEnd"/>
            <w:r w:rsidRPr="0042503D">
              <w:rPr>
                <w:snapToGrid w:val="0"/>
                <w:szCs w:val="21"/>
                <w:lang w:val="fr"/>
              </w:rPr>
              <w:t>/L (IC à 95,5 %)</w:t>
            </w:r>
          </w:p>
        </w:tc>
        <w:tc>
          <w:tcPr>
            <w:tcW w:w="1404" w:type="dxa"/>
            <w:tcBorders>
              <w:top w:val="single" w:sz="8" w:space="0" w:color="000000"/>
              <w:left w:val="single" w:sz="8" w:space="0" w:color="000000"/>
              <w:right w:val="single" w:sz="8" w:space="0" w:color="000000"/>
            </w:tcBorders>
          </w:tcPr>
          <w:p w14:paraId="5A437BE4" w14:textId="77777777" w:rsidR="00724AE5" w:rsidRPr="0042503D" w:rsidRDefault="00AD4E2D" w:rsidP="00AD4E2D">
            <w:pPr>
              <w:pStyle w:val="TableParagraph"/>
              <w:spacing w:before="21" w:line="228" w:lineRule="auto"/>
              <w:rPr>
                <w:snapToGrid w:val="0"/>
                <w:szCs w:val="21"/>
              </w:rPr>
            </w:pPr>
            <w:r w:rsidRPr="0042503D">
              <w:rPr>
                <w:snapToGrid w:val="0"/>
                <w:szCs w:val="21"/>
                <w:lang w:val="fr"/>
              </w:rPr>
              <w:t>0,014 mmol/L</w:t>
            </w:r>
          </w:p>
        </w:tc>
        <w:tc>
          <w:tcPr>
            <w:tcW w:w="1912" w:type="dxa"/>
            <w:tcBorders>
              <w:top w:val="single" w:sz="8" w:space="0" w:color="000000"/>
              <w:left w:val="single" w:sz="8" w:space="0" w:color="000000"/>
              <w:right w:val="single" w:sz="8" w:space="0" w:color="000000"/>
            </w:tcBorders>
          </w:tcPr>
          <w:p w14:paraId="69F4BBC2" w14:textId="77777777" w:rsidR="00724AE5" w:rsidRPr="0042503D" w:rsidRDefault="00AD4E2D" w:rsidP="00AD4E2D">
            <w:pPr>
              <w:pStyle w:val="TableParagraph"/>
              <w:spacing w:before="21" w:line="228" w:lineRule="auto"/>
              <w:rPr>
                <w:snapToGrid w:val="0"/>
                <w:szCs w:val="21"/>
                <w:lang w:val="fr-FR"/>
              </w:rPr>
            </w:pPr>
            <w:r w:rsidRPr="0042503D">
              <w:rPr>
                <w:snapToGrid w:val="0"/>
                <w:szCs w:val="21"/>
                <w:lang w:val="fr"/>
              </w:rPr>
              <w:t>Moyenne = 3,97</w:t>
            </w:r>
          </w:p>
          <w:p w14:paraId="6CD3EAD3" w14:textId="77777777" w:rsidR="00724AE5" w:rsidRPr="0042503D" w:rsidRDefault="00AD4E2D" w:rsidP="00AD4E2D">
            <w:pPr>
              <w:pStyle w:val="TableParagraph"/>
              <w:spacing w:before="16" w:line="228" w:lineRule="auto"/>
              <w:rPr>
                <w:snapToGrid w:val="0"/>
                <w:szCs w:val="21"/>
                <w:lang w:val="fr-FR"/>
              </w:rPr>
            </w:pPr>
            <w:r w:rsidRPr="0042503D">
              <w:rPr>
                <w:snapToGrid w:val="0"/>
                <w:szCs w:val="21"/>
                <w:lang w:val="fr"/>
              </w:rPr>
              <w:t>± 0,12 </w:t>
            </w:r>
            <w:proofErr w:type="spellStart"/>
            <w:r w:rsidRPr="0042503D">
              <w:rPr>
                <w:snapToGrid w:val="0"/>
                <w:szCs w:val="21"/>
                <w:lang w:val="fr"/>
              </w:rPr>
              <w:t>mmol</w:t>
            </w:r>
            <w:proofErr w:type="spellEnd"/>
            <w:r w:rsidRPr="0042503D">
              <w:rPr>
                <w:snapToGrid w:val="0"/>
                <w:szCs w:val="21"/>
                <w:lang w:val="fr"/>
              </w:rPr>
              <w:t>/L (IC à 95,5 %)</w:t>
            </w:r>
          </w:p>
        </w:tc>
        <w:tc>
          <w:tcPr>
            <w:tcW w:w="1699" w:type="dxa"/>
            <w:tcBorders>
              <w:top w:val="single" w:sz="8" w:space="0" w:color="000000"/>
              <w:left w:val="single" w:sz="8" w:space="0" w:color="000000"/>
              <w:right w:val="single" w:sz="8" w:space="0" w:color="000000"/>
            </w:tcBorders>
          </w:tcPr>
          <w:p w14:paraId="18E48954" w14:textId="77777777" w:rsidR="00724AE5" w:rsidRPr="0042503D" w:rsidRDefault="00AD4E2D" w:rsidP="00AD4E2D">
            <w:pPr>
              <w:pStyle w:val="TableParagraph"/>
              <w:spacing w:before="21" w:line="228" w:lineRule="auto"/>
              <w:rPr>
                <w:snapToGrid w:val="0"/>
                <w:szCs w:val="21"/>
              </w:rPr>
            </w:pPr>
            <w:r w:rsidRPr="0042503D">
              <w:rPr>
                <w:snapToGrid w:val="0"/>
                <w:szCs w:val="21"/>
                <w:lang w:val="fr"/>
              </w:rPr>
              <w:t>0,06 </w:t>
            </w:r>
            <w:proofErr w:type="spellStart"/>
            <w:r w:rsidRPr="0042503D">
              <w:rPr>
                <w:snapToGrid w:val="0"/>
                <w:szCs w:val="21"/>
                <w:lang w:val="fr"/>
              </w:rPr>
              <w:t>mmol</w:t>
            </w:r>
            <w:proofErr w:type="spellEnd"/>
            <w:r w:rsidRPr="0042503D">
              <w:rPr>
                <w:snapToGrid w:val="0"/>
                <w:szCs w:val="21"/>
                <w:lang w:val="fr"/>
              </w:rPr>
              <w:t>/L</w:t>
            </w:r>
          </w:p>
        </w:tc>
        <w:tc>
          <w:tcPr>
            <w:tcW w:w="1699" w:type="dxa"/>
            <w:tcBorders>
              <w:top w:val="single" w:sz="8" w:space="0" w:color="000000"/>
              <w:left w:val="single" w:sz="8" w:space="0" w:color="000000"/>
              <w:right w:val="single" w:sz="8" w:space="0" w:color="000000"/>
            </w:tcBorders>
          </w:tcPr>
          <w:p w14:paraId="12752BEB" w14:textId="77777777" w:rsidR="00724AE5" w:rsidRPr="0042503D" w:rsidRDefault="00AD4E2D" w:rsidP="00AD4E2D">
            <w:pPr>
              <w:pStyle w:val="TableParagraph"/>
              <w:spacing w:before="21" w:line="228" w:lineRule="auto"/>
              <w:rPr>
                <w:snapToGrid w:val="0"/>
                <w:szCs w:val="21"/>
              </w:rPr>
            </w:pPr>
            <w:r w:rsidRPr="0042503D">
              <w:rPr>
                <w:snapToGrid w:val="0"/>
                <w:szCs w:val="21"/>
                <w:lang w:val="fr"/>
              </w:rPr>
              <w:t>0,10 mmol/L</w:t>
            </w:r>
          </w:p>
        </w:tc>
      </w:tr>
    </w:tbl>
    <w:p w14:paraId="2B7C821A" w14:textId="77777777" w:rsidR="0061054E" w:rsidRDefault="0061054E" w:rsidP="00AD4E2D">
      <w:pPr>
        <w:spacing w:line="228" w:lineRule="auto"/>
        <w:rPr>
          <w:snapToGrid w:val="0"/>
          <w:sz w:val="24"/>
        </w:rPr>
      </w:pPr>
    </w:p>
    <w:p w14:paraId="6297E4D4" w14:textId="77777777" w:rsidR="00724AE5" w:rsidRPr="0042503D" w:rsidRDefault="00AD4E2D" w:rsidP="00BE580B">
      <w:pPr>
        <w:pStyle w:val="BodyText"/>
        <w:spacing w:before="89"/>
        <w:ind w:left="115" w:right="92"/>
        <w:rPr>
          <w:snapToGrid w:val="0"/>
          <w:sz w:val="22"/>
          <w:szCs w:val="22"/>
          <w:lang w:val="fr-FR"/>
        </w:rPr>
      </w:pPr>
      <w:r w:rsidRPr="0042503D">
        <w:rPr>
          <w:snapToGrid w:val="0"/>
          <w:sz w:val="22"/>
          <w:szCs w:val="22"/>
          <w:lang w:val="fr"/>
        </w:rPr>
        <w:t>Le biais positif de 0,10 mmol/L est jugé significatif et applicable sur toute l’étendue de mesure. Le dosage est donc recalibré à la baisse de cette valeur. Il nous faut calculer l’incertitude associée à cette valeur du biais de 0,10 mmol/L. Ce calcul repose sur l’écart-type 1 (μ</w:t>
      </w:r>
      <w:r w:rsidRPr="0042503D">
        <w:rPr>
          <w:snapToGrid w:val="0"/>
          <w:sz w:val="22"/>
          <w:szCs w:val="22"/>
          <w:vertAlign w:val="subscript"/>
          <w:lang w:val="fr"/>
        </w:rPr>
        <w:t>c</w:t>
      </w:r>
      <w:r w:rsidRPr="0042503D">
        <w:rPr>
          <w:snapToGrid w:val="0"/>
          <w:sz w:val="22"/>
          <w:szCs w:val="22"/>
          <w:lang w:val="fr"/>
        </w:rPr>
        <w:t>), et non sur l’écart-type 2 (</w:t>
      </w:r>
      <w:r w:rsidRPr="0042503D">
        <w:rPr>
          <w:i/>
          <w:iCs/>
          <w:snapToGrid w:val="0"/>
          <w:sz w:val="22"/>
          <w:szCs w:val="22"/>
          <w:lang w:val="fr"/>
        </w:rPr>
        <w:t>U</w:t>
      </w:r>
      <w:r w:rsidRPr="0042503D">
        <w:rPr>
          <w:snapToGrid w:val="0"/>
          <w:sz w:val="22"/>
          <w:szCs w:val="22"/>
          <w:lang w:val="fr"/>
        </w:rPr>
        <w:t>), donc, l’incertitude-type du matériau de référence certifié est de 0,014 mmol/L. L’incertitude de la valeur moyenne obtenue par le laboratoire est l’erreur-standard de la moyenne des 10 mesures, soit 0,06 / √10 = 0,019 mmol/L. Nous combinons ensuite ces deux incertitudes du matériau de référence certifié et les valeurs moyennes du laboratoire pour obtenir l’incertitude-type combinée à la valeur du biais de 0,10 mmol/L. Étant donné que les écarts-types ne peuvent pas être additionnés directement, ils doivent être convertis en variances d’écarts-types (SD</w:t>
      </w:r>
      <w:r w:rsidRPr="0042503D">
        <w:rPr>
          <w:snapToGrid w:val="0"/>
          <w:sz w:val="22"/>
          <w:szCs w:val="22"/>
          <w:vertAlign w:val="superscript"/>
          <w:lang w:val="fr"/>
        </w:rPr>
        <w:t>2</w:t>
      </w:r>
      <w:r w:rsidRPr="0042503D">
        <w:rPr>
          <w:snapToGrid w:val="0"/>
          <w:sz w:val="22"/>
          <w:szCs w:val="22"/>
          <w:lang w:val="fr"/>
        </w:rPr>
        <w:t xml:space="preserve">), que l’on additionne. Ensuite on en extrait la racine carrée pour revenir à un écart-type combiné. Par exemple, l’incertitude-type combinée de la valeur du biais ubias = </w:t>
      </w:r>
      <w:proofErr w:type="gramStart"/>
      <w:r w:rsidRPr="0042503D">
        <w:rPr>
          <w:snapToGrid w:val="0"/>
          <w:sz w:val="22"/>
          <w:szCs w:val="22"/>
          <w:lang w:val="fr"/>
        </w:rPr>
        <w:t>√(</w:t>
      </w:r>
      <w:proofErr w:type="gramEnd"/>
      <w:r w:rsidRPr="0042503D">
        <w:rPr>
          <w:snapToGrid w:val="0"/>
          <w:sz w:val="22"/>
          <w:szCs w:val="22"/>
          <w:lang w:val="fr"/>
        </w:rPr>
        <w:t>0,0142 + 0,0192) = 0,0236 </w:t>
      </w:r>
      <w:proofErr w:type="spellStart"/>
      <w:r w:rsidRPr="0042503D">
        <w:rPr>
          <w:snapToGrid w:val="0"/>
          <w:sz w:val="22"/>
          <w:szCs w:val="22"/>
          <w:lang w:val="fr"/>
        </w:rPr>
        <w:t>mmol</w:t>
      </w:r>
      <w:proofErr w:type="spellEnd"/>
      <w:r w:rsidRPr="0042503D">
        <w:rPr>
          <w:snapToGrid w:val="0"/>
          <w:sz w:val="22"/>
          <w:szCs w:val="22"/>
          <w:lang w:val="fr"/>
        </w:rPr>
        <w:t>/L.</w:t>
      </w:r>
    </w:p>
    <w:p w14:paraId="78327A7F" w14:textId="77777777" w:rsidR="00724AE5" w:rsidRPr="0042503D" w:rsidRDefault="00AD4E2D" w:rsidP="00BE580B">
      <w:pPr>
        <w:pStyle w:val="BodyText"/>
        <w:spacing w:before="280"/>
        <w:ind w:left="115" w:right="234"/>
        <w:rPr>
          <w:snapToGrid w:val="0"/>
          <w:sz w:val="22"/>
          <w:szCs w:val="22"/>
          <w:lang w:val="fr-FR"/>
        </w:rPr>
      </w:pPr>
      <w:r w:rsidRPr="0042503D">
        <w:rPr>
          <w:snapToGrid w:val="0"/>
          <w:sz w:val="22"/>
          <w:szCs w:val="22"/>
          <w:lang w:val="fr"/>
        </w:rPr>
        <w:t>L’incertitude de la valeur associée au biais doit ensuite être comparée à l’imprécision à long terme obtenue par les contrôles qualité. Par exemple, 0,0236 mmol/L représente environ 11 % de 0,22 mmol/L, ce qui est considéré comme étant d’une ampleur limite, susceptible ou non de justifier son inclusion dans le calcul de la MU des résultats produits par l’analyse de la rhubarbe. L’incertitude de biais et l’imprécision des contrôles qualité sont combinées de la même manière :</w:t>
      </w:r>
    </w:p>
    <w:p w14:paraId="4392400A" w14:textId="77777777" w:rsidR="00724AE5" w:rsidRPr="0042503D" w:rsidRDefault="00AD4E2D" w:rsidP="00BE580B">
      <w:pPr>
        <w:pStyle w:val="BodyText"/>
        <w:spacing w:before="240"/>
        <w:ind w:left="115" w:right="233"/>
        <w:rPr>
          <w:snapToGrid w:val="0"/>
          <w:sz w:val="22"/>
          <w:szCs w:val="22"/>
          <w:lang w:val="fr-FR"/>
        </w:rPr>
      </w:pPr>
      <w:r w:rsidRPr="0042503D">
        <w:rPr>
          <w:snapToGrid w:val="0"/>
          <w:sz w:val="22"/>
          <w:szCs w:val="22"/>
          <w:lang w:val="fr"/>
        </w:rPr>
        <w:t>Pour les valeurs proches du niveau de CQ 1 : μ</w:t>
      </w:r>
      <w:r w:rsidRPr="0042503D">
        <w:rPr>
          <w:snapToGrid w:val="0"/>
          <w:sz w:val="22"/>
          <w:szCs w:val="22"/>
          <w:vertAlign w:val="subscript"/>
          <w:lang w:val="fr"/>
        </w:rPr>
        <w:t>c</w:t>
      </w:r>
      <w:r w:rsidRPr="0042503D">
        <w:rPr>
          <w:snapToGrid w:val="0"/>
          <w:sz w:val="22"/>
          <w:szCs w:val="22"/>
          <w:lang w:val="fr"/>
        </w:rPr>
        <w:t xml:space="preserve"> = </w:t>
      </w:r>
      <w:proofErr w:type="gramStart"/>
      <w:r w:rsidRPr="0042503D">
        <w:rPr>
          <w:snapToGrid w:val="0"/>
          <w:sz w:val="22"/>
          <w:szCs w:val="22"/>
          <w:lang w:val="fr"/>
        </w:rPr>
        <w:t>√(</w:t>
      </w:r>
      <w:proofErr w:type="gramEnd"/>
      <w:r w:rsidRPr="0042503D">
        <w:rPr>
          <w:snapToGrid w:val="0"/>
          <w:sz w:val="22"/>
          <w:szCs w:val="22"/>
          <w:lang w:val="fr"/>
        </w:rPr>
        <w:t>0,02362 + 0,122) = 0,1223 mmol/L Pour le niveau 2 : μ</w:t>
      </w:r>
      <w:r w:rsidRPr="0042503D">
        <w:rPr>
          <w:snapToGrid w:val="0"/>
          <w:sz w:val="22"/>
          <w:szCs w:val="22"/>
          <w:vertAlign w:val="subscript"/>
          <w:lang w:val="fr"/>
        </w:rPr>
        <w:t>c</w:t>
      </w:r>
      <w:r w:rsidRPr="0042503D">
        <w:rPr>
          <w:snapToGrid w:val="0"/>
          <w:sz w:val="22"/>
          <w:szCs w:val="22"/>
          <w:lang w:val="fr"/>
        </w:rPr>
        <w:t xml:space="preserve"> = </w:t>
      </w:r>
      <w:proofErr w:type="gramStart"/>
      <w:r w:rsidRPr="0042503D">
        <w:rPr>
          <w:snapToGrid w:val="0"/>
          <w:sz w:val="22"/>
          <w:szCs w:val="22"/>
          <w:lang w:val="fr"/>
        </w:rPr>
        <w:t>√(</w:t>
      </w:r>
      <w:proofErr w:type="gramEnd"/>
      <w:r w:rsidRPr="0042503D">
        <w:rPr>
          <w:snapToGrid w:val="0"/>
          <w:sz w:val="22"/>
          <w:szCs w:val="22"/>
          <w:lang w:val="fr"/>
        </w:rPr>
        <w:t>0,02362 + 0,732) = 0,730 </w:t>
      </w:r>
      <w:proofErr w:type="spellStart"/>
      <w:r w:rsidRPr="0042503D">
        <w:rPr>
          <w:snapToGrid w:val="0"/>
          <w:sz w:val="22"/>
          <w:szCs w:val="22"/>
          <w:lang w:val="fr"/>
        </w:rPr>
        <w:t>mmol</w:t>
      </w:r>
      <w:proofErr w:type="spellEnd"/>
      <w:r w:rsidRPr="0042503D">
        <w:rPr>
          <w:snapToGrid w:val="0"/>
          <w:sz w:val="22"/>
          <w:szCs w:val="22"/>
          <w:lang w:val="fr"/>
        </w:rPr>
        <w:t>/L</w:t>
      </w:r>
    </w:p>
    <w:p w14:paraId="5CAF9AAB" w14:textId="77777777" w:rsidR="00724AE5" w:rsidRPr="0042503D" w:rsidRDefault="00AD4E2D" w:rsidP="00BE580B">
      <w:pPr>
        <w:pStyle w:val="BodyText"/>
        <w:ind w:left="115"/>
        <w:rPr>
          <w:snapToGrid w:val="0"/>
          <w:sz w:val="22"/>
          <w:szCs w:val="22"/>
          <w:lang w:val="fr-FR"/>
        </w:rPr>
      </w:pPr>
      <w:r w:rsidRPr="0042503D">
        <w:rPr>
          <w:snapToGrid w:val="0"/>
          <w:sz w:val="22"/>
          <w:szCs w:val="22"/>
          <w:lang w:val="fr"/>
        </w:rPr>
        <w:t>L’incertitude élargie (</w:t>
      </w:r>
      <w:r w:rsidRPr="0042503D">
        <w:rPr>
          <w:i/>
          <w:iCs/>
          <w:snapToGrid w:val="0"/>
          <w:sz w:val="22"/>
          <w:szCs w:val="22"/>
          <w:lang w:val="fr"/>
        </w:rPr>
        <w:t>U</w:t>
      </w:r>
      <w:r w:rsidRPr="0042503D">
        <w:rPr>
          <w:snapToGrid w:val="0"/>
          <w:sz w:val="22"/>
          <w:szCs w:val="22"/>
          <w:lang w:val="fr"/>
        </w:rPr>
        <w:t>) est ensuite calculée : pour le contrôle qualité niveau 1 : 0,122 x 2 = 0,244 mmol/L, arrondi à 0,2 mmol/L ; et pour le contrôle qualité niveau 2 : 0,73 x 2 = 1,46 mmol/L, arrondi à 1,5 </w:t>
      </w:r>
      <w:proofErr w:type="spellStart"/>
      <w:r w:rsidRPr="0042503D">
        <w:rPr>
          <w:snapToGrid w:val="0"/>
          <w:sz w:val="22"/>
          <w:szCs w:val="22"/>
          <w:lang w:val="fr"/>
        </w:rPr>
        <w:t>mmol</w:t>
      </w:r>
      <w:proofErr w:type="spellEnd"/>
      <w:r w:rsidRPr="0042503D">
        <w:rPr>
          <w:snapToGrid w:val="0"/>
          <w:sz w:val="22"/>
          <w:szCs w:val="22"/>
          <w:lang w:val="fr"/>
        </w:rPr>
        <w:t>/L.</w:t>
      </w:r>
    </w:p>
    <w:p w14:paraId="57CD868F" w14:textId="77777777" w:rsidR="00724AE5" w:rsidRPr="0042503D" w:rsidRDefault="00AD4E2D" w:rsidP="00BE580B">
      <w:pPr>
        <w:pStyle w:val="BodyText"/>
        <w:spacing w:before="240"/>
        <w:ind w:left="115"/>
        <w:rPr>
          <w:snapToGrid w:val="0"/>
          <w:sz w:val="22"/>
          <w:szCs w:val="22"/>
          <w:lang w:val="fr-FR"/>
        </w:rPr>
      </w:pPr>
      <w:r w:rsidRPr="0042503D">
        <w:rPr>
          <w:snapToGrid w:val="0"/>
          <w:sz w:val="22"/>
          <w:szCs w:val="22"/>
          <w:lang w:val="fr"/>
        </w:rPr>
        <w:t>Ainsi, les résultats de patients dans l’intervalle de surveillance correspondant peuvent être exprimés comme suit : résultats associés au contrôle qualité niveau 1 : x ± 0,2 mmol/L (intervalle de confiance 95,5 %) ; résultats associés au contrôle qualité niveau 2 : x ±1,5 mmol/L (intervalle de confiance 95,5 %). Remarque : Les valeurs de MU sont arrondies au même nombre de décimales que celui utilisé pour le compte-rendu des résultats.</w:t>
      </w:r>
    </w:p>
    <w:p w14:paraId="02B00022" w14:textId="77777777" w:rsidR="00724AE5" w:rsidRPr="0042503D" w:rsidRDefault="00AD4E2D" w:rsidP="00BE580B">
      <w:pPr>
        <w:pStyle w:val="BodyText"/>
        <w:spacing w:before="240"/>
        <w:ind w:left="115" w:right="521"/>
        <w:rPr>
          <w:snapToGrid w:val="0"/>
          <w:sz w:val="22"/>
          <w:szCs w:val="22"/>
          <w:lang w:val="fr-FR"/>
        </w:rPr>
      </w:pPr>
      <w:r w:rsidRPr="0042503D">
        <w:rPr>
          <w:snapToGrid w:val="0"/>
          <w:sz w:val="22"/>
          <w:szCs w:val="22"/>
          <w:lang w:val="fr"/>
        </w:rPr>
        <w:t>Dans cet exemple, l’intégration de l’incertitude associée au biais n’a pas modifié de manière significative la valeur de l’incertitude élargie, calculée uniquement en utilisant les données d’imprécision des contrôles qualité à long terme. C’est pourquoi les laboratoires omettent souvent l’incertitude des valeurs de biais lorsqu’elle est inférieure à un seuil arbitraire de 20 à 30 % de l’imprécision intermédiaire.</w:t>
      </w:r>
    </w:p>
    <w:p w14:paraId="3501C635" w14:textId="77777777" w:rsidR="00724AE5" w:rsidRPr="0042503D" w:rsidRDefault="00AD4E2D" w:rsidP="00BE580B">
      <w:pPr>
        <w:pStyle w:val="Heading1"/>
        <w:spacing w:before="240"/>
        <w:ind w:left="115" w:right="233"/>
        <w:rPr>
          <w:snapToGrid w:val="0"/>
          <w:lang w:val="fr-FR"/>
        </w:rPr>
      </w:pPr>
      <w:r>
        <w:rPr>
          <w:snapToGrid w:val="0"/>
          <w:lang w:val="fr"/>
        </w:rPr>
        <w:t>Comment calculer la MU pour un résultat estimé à partir de plusieurs autres résultats ?</w:t>
      </w:r>
    </w:p>
    <w:p w14:paraId="201DBF64" w14:textId="77777777" w:rsidR="00724AE5" w:rsidRPr="00AD4E2D" w:rsidRDefault="00AD4E2D" w:rsidP="00BE580B">
      <w:pPr>
        <w:pStyle w:val="BodyText"/>
        <w:spacing w:before="120"/>
        <w:ind w:left="115"/>
        <w:rPr>
          <w:snapToGrid w:val="0"/>
          <w:sz w:val="22"/>
          <w:szCs w:val="22"/>
          <w:lang w:val="fr-FR"/>
        </w:rPr>
      </w:pPr>
      <w:proofErr w:type="gramStart"/>
      <w:r w:rsidRPr="00AD4E2D">
        <w:rPr>
          <w:snapToGrid w:val="0"/>
          <w:sz w:val="22"/>
          <w:szCs w:val="22"/>
          <w:lang w:val="fr"/>
        </w:rPr>
        <w:t>par</w:t>
      </w:r>
      <w:proofErr w:type="gramEnd"/>
      <w:r w:rsidRPr="00AD4E2D">
        <w:rPr>
          <w:snapToGrid w:val="0"/>
          <w:sz w:val="22"/>
          <w:szCs w:val="22"/>
          <w:lang w:val="fr"/>
        </w:rPr>
        <w:t xml:space="preserve"> exemple, écart anionique = (Na+ + K+) – (Cl- + HCO3-)</w:t>
      </w:r>
    </w:p>
    <w:p w14:paraId="30442B88" w14:textId="77777777" w:rsidR="00724AE5" w:rsidRPr="00AD4E2D" w:rsidRDefault="00AD4E2D" w:rsidP="00BE580B">
      <w:pPr>
        <w:pStyle w:val="BodyText"/>
        <w:spacing w:before="240"/>
        <w:ind w:left="115" w:right="233"/>
        <w:rPr>
          <w:snapToGrid w:val="0"/>
          <w:sz w:val="22"/>
          <w:szCs w:val="22"/>
          <w:lang w:val="fr-FR"/>
        </w:rPr>
      </w:pPr>
      <w:r w:rsidRPr="00AD4E2D">
        <w:rPr>
          <w:snapToGrid w:val="0"/>
          <w:sz w:val="22"/>
          <w:szCs w:val="22"/>
          <w:lang w:val="fr"/>
        </w:rPr>
        <w:t>Comme précédemment, Supposons que l’incertitude-type (uc, soit 1 écart-type) soit la suivante : Na+ = 1,1 mmol/L, K+ = 0,1 mmol/L, Cl- = 1,2 mmol/L et HCO3- = 0,8 mmol/L</w:t>
      </w:r>
      <w:bookmarkStart w:id="1" w:name="_bookmark1"/>
      <w:bookmarkEnd w:id="1"/>
      <w:r w:rsidRPr="00AD4E2D">
        <w:rPr>
          <w:snapToGrid w:val="0"/>
          <w:sz w:val="22"/>
          <w:szCs w:val="22"/>
          <w:lang w:val="fr"/>
        </w:rPr>
        <w:t xml:space="preserve"> On calcule l’incertitude-type combinée de l’écart anionique : μAG = </w:t>
      </w:r>
      <w:proofErr w:type="gramStart"/>
      <w:r w:rsidRPr="00AD4E2D">
        <w:rPr>
          <w:snapToGrid w:val="0"/>
          <w:sz w:val="22"/>
          <w:szCs w:val="22"/>
          <w:lang w:val="fr"/>
        </w:rPr>
        <w:t>√(</w:t>
      </w:r>
      <w:proofErr w:type="gramEnd"/>
      <w:r w:rsidRPr="00AD4E2D">
        <w:rPr>
          <w:snapToGrid w:val="0"/>
          <w:sz w:val="22"/>
          <w:szCs w:val="22"/>
          <w:lang w:val="fr"/>
        </w:rPr>
        <w:t xml:space="preserve">1,12 + 0,12 + 1,22 + 0,82) = 1,82 mmol/L ; </w:t>
      </w:r>
      <w:r w:rsidRPr="00AD4E2D">
        <w:rPr>
          <w:i/>
          <w:iCs/>
          <w:snapToGrid w:val="0"/>
          <w:sz w:val="22"/>
          <w:szCs w:val="22"/>
          <w:lang w:val="fr"/>
        </w:rPr>
        <w:t>U (incertitude élargie) </w:t>
      </w:r>
      <w:r w:rsidRPr="00AD4E2D">
        <w:rPr>
          <w:snapToGrid w:val="0"/>
          <w:sz w:val="22"/>
          <w:szCs w:val="22"/>
          <w:lang w:val="fr"/>
        </w:rPr>
        <w:t>= 3,64 </w:t>
      </w:r>
      <w:proofErr w:type="spellStart"/>
      <w:r w:rsidRPr="00AD4E2D">
        <w:rPr>
          <w:snapToGrid w:val="0"/>
          <w:sz w:val="22"/>
          <w:szCs w:val="22"/>
          <w:lang w:val="fr"/>
        </w:rPr>
        <w:t>mmol</w:t>
      </w:r>
      <w:proofErr w:type="spellEnd"/>
      <w:r w:rsidRPr="00AD4E2D">
        <w:rPr>
          <w:snapToGrid w:val="0"/>
          <w:sz w:val="22"/>
          <w:szCs w:val="22"/>
          <w:lang w:val="fr"/>
        </w:rPr>
        <w:t>/L.</w:t>
      </w:r>
    </w:p>
    <w:p w14:paraId="4246CFD5" w14:textId="77777777" w:rsidR="0077726F" w:rsidRPr="00AD4E2D" w:rsidRDefault="0077726F" w:rsidP="00AD4E2D">
      <w:pPr>
        <w:pStyle w:val="BodyText"/>
        <w:spacing w:before="32" w:line="228" w:lineRule="auto"/>
        <w:ind w:left="0"/>
        <w:rPr>
          <w:snapToGrid w:val="0"/>
          <w:sz w:val="16"/>
          <w:szCs w:val="16"/>
          <w:lang w:val="fr-FR"/>
        </w:rPr>
      </w:pPr>
    </w:p>
    <w:p w14:paraId="319FE689" w14:textId="77777777" w:rsidR="00724AE5" w:rsidRPr="00AD4E2D" w:rsidRDefault="00AD4E2D" w:rsidP="00AD4E2D">
      <w:pPr>
        <w:pStyle w:val="BodyText"/>
        <w:spacing w:before="13" w:line="228" w:lineRule="auto"/>
        <w:rPr>
          <w:snapToGrid w:val="0"/>
          <w:sz w:val="22"/>
          <w:szCs w:val="22"/>
          <w:lang w:val="fr-FR"/>
        </w:rPr>
      </w:pPr>
      <w:r w:rsidRPr="00AD4E2D">
        <w:rPr>
          <w:snapToGrid w:val="0"/>
          <w:sz w:val="22"/>
          <w:szCs w:val="22"/>
          <w:lang w:val="fr"/>
        </w:rPr>
        <w:lastRenderedPageBreak/>
        <w:t>Après un arrondi approprié, on obtient une incertitude élargie de ± 4 </w:t>
      </w:r>
      <w:proofErr w:type="spellStart"/>
      <w:r w:rsidRPr="00AD4E2D">
        <w:rPr>
          <w:snapToGrid w:val="0"/>
          <w:sz w:val="22"/>
          <w:szCs w:val="22"/>
          <w:lang w:val="fr"/>
        </w:rPr>
        <w:t>mmol</w:t>
      </w:r>
      <w:proofErr w:type="spellEnd"/>
      <w:r w:rsidRPr="00AD4E2D">
        <w:rPr>
          <w:snapToGrid w:val="0"/>
          <w:sz w:val="22"/>
          <w:szCs w:val="22"/>
          <w:lang w:val="fr"/>
        </w:rPr>
        <w:t>/L.</w:t>
      </w:r>
    </w:p>
    <w:p w14:paraId="5E5BEC89" w14:textId="77777777" w:rsidR="00724AE5" w:rsidRPr="00AD4E2D" w:rsidRDefault="00AD4E2D" w:rsidP="00AD4E2D">
      <w:pPr>
        <w:pStyle w:val="BodyText"/>
        <w:spacing w:before="240" w:line="228" w:lineRule="auto"/>
        <w:ind w:right="377"/>
        <w:rPr>
          <w:snapToGrid w:val="0"/>
          <w:sz w:val="22"/>
          <w:szCs w:val="22"/>
          <w:lang w:val="fr-FR"/>
        </w:rPr>
      </w:pPr>
      <w:r w:rsidRPr="00AD4E2D">
        <w:rPr>
          <w:snapToGrid w:val="0"/>
          <w:sz w:val="22"/>
          <w:szCs w:val="22"/>
          <w:lang w:val="fr"/>
        </w:rPr>
        <w:t>Remarque : bien que le calcul de l’écart anionique (AG) implique à la fois des additions et des soustractions, les incertitudes-types se combinent selon la même méthode. En revanche, si un paramètre calculé implique des divisions et/ou des multiplications (par exemple, la clairance de la créatinine), les écarts-types doivent d’abord être convertis en coefficients de variation. L’incertitude-type relative combinée est alors calculée selon la formule CVcombiné = √CV12 + CV22 + CV32 +… etc.).</w:t>
      </w:r>
    </w:p>
    <w:p w14:paraId="078E2AA6" w14:textId="77777777" w:rsidR="00724AE5" w:rsidRPr="0042503D" w:rsidRDefault="00AD4E2D" w:rsidP="00AD4E2D">
      <w:pPr>
        <w:pStyle w:val="Heading1"/>
        <w:spacing w:before="240" w:line="228" w:lineRule="auto"/>
        <w:rPr>
          <w:snapToGrid w:val="0"/>
          <w:lang w:val="fr-FR"/>
        </w:rPr>
      </w:pPr>
      <w:r>
        <w:rPr>
          <w:snapToGrid w:val="0"/>
          <w:lang w:val="fr"/>
        </w:rPr>
        <w:t>Comment les estimations de la MU doivent-elles être évaluées ?</w:t>
      </w:r>
    </w:p>
    <w:p w14:paraId="7406E4D7" w14:textId="77777777" w:rsidR="00724AE5" w:rsidRPr="00AD4E2D" w:rsidRDefault="00AD4E2D" w:rsidP="00AD4E2D">
      <w:pPr>
        <w:pStyle w:val="BodyText"/>
        <w:spacing w:before="240" w:line="228" w:lineRule="auto"/>
        <w:ind w:right="521"/>
        <w:rPr>
          <w:snapToGrid w:val="0"/>
          <w:sz w:val="22"/>
          <w:szCs w:val="22"/>
          <w:lang w:val="fr-FR"/>
        </w:rPr>
      </w:pPr>
      <w:r w:rsidRPr="00AD4E2D">
        <w:rPr>
          <w:snapToGrid w:val="0"/>
          <w:sz w:val="22"/>
          <w:szCs w:val="22"/>
          <w:lang w:val="fr"/>
        </w:rPr>
        <w:t>Avant d’entreprendre le calcul de la MU, il est indispensable que le laboratoire définisse, pour chaque analyte, par exemple, pour le sodium sérique, le sodium urinaire, etc., des objectifs de MU cliniquement acceptables. Il est peu pertinent d’estimer la MU s’il n’existe pas de seuils cibles précisant ce qui est requis pour garantir une performance analytique acceptable du point de vue clinique. Cet aspect fondamental ne sera pas développé ici, car les approches pour définir ces objectifs sont bien documentées dans d’autres sources spécialisées, notamment via : l’utilisation des données de variation biologique, les recommandations d’experts internationaux, l’avis professionnel.</w:t>
      </w:r>
    </w:p>
    <w:p w14:paraId="4785F155" w14:textId="77777777" w:rsidR="00724AE5" w:rsidRPr="0042503D" w:rsidRDefault="00AD4E2D" w:rsidP="00AD4E2D">
      <w:pPr>
        <w:pStyle w:val="Heading1"/>
        <w:spacing w:before="240" w:line="228" w:lineRule="auto"/>
        <w:rPr>
          <w:snapToGrid w:val="0"/>
          <w:lang w:val="fr-FR"/>
        </w:rPr>
      </w:pPr>
      <w:r>
        <w:rPr>
          <w:snapToGrid w:val="0"/>
          <w:lang w:val="fr"/>
        </w:rPr>
        <w:t>Résumé</w:t>
      </w:r>
    </w:p>
    <w:p w14:paraId="78883300" w14:textId="77777777" w:rsidR="00724AE5" w:rsidRPr="00AD4E2D" w:rsidRDefault="00AD4E2D" w:rsidP="00AD4E2D">
      <w:pPr>
        <w:pStyle w:val="BodyText"/>
        <w:spacing w:before="240" w:line="228" w:lineRule="auto"/>
        <w:ind w:right="233"/>
        <w:rPr>
          <w:snapToGrid w:val="0"/>
          <w:sz w:val="22"/>
          <w:szCs w:val="22"/>
          <w:lang w:val="fr-FR"/>
        </w:rPr>
      </w:pPr>
      <w:r w:rsidRPr="00AD4E2D">
        <w:rPr>
          <w:snapToGrid w:val="0"/>
          <w:sz w:val="22"/>
          <w:szCs w:val="22"/>
          <w:lang w:val="fr"/>
        </w:rPr>
        <w:t>L’approche décrite ci-dessus est qualifiée de « descendante » (top-down). Tout biais significatif connu doit être éliminé ou minimisé, et le biais résiduel doit être évalué en tenant compte de l’incertitude associée à la valeur du biais utilisée pour</w:t>
      </w:r>
    </w:p>
    <w:p w14:paraId="1C198123" w14:textId="77777777" w:rsidR="00724AE5" w:rsidRPr="00AD4E2D" w:rsidRDefault="00AD4E2D" w:rsidP="00AD4E2D">
      <w:pPr>
        <w:pStyle w:val="BodyText"/>
        <w:spacing w:line="228" w:lineRule="auto"/>
        <w:ind w:right="233"/>
        <w:rPr>
          <w:snapToGrid w:val="0"/>
          <w:sz w:val="22"/>
          <w:szCs w:val="22"/>
          <w:lang w:val="fr-FR"/>
        </w:rPr>
      </w:pPr>
      <w:proofErr w:type="gramStart"/>
      <w:r w:rsidRPr="00AD4E2D">
        <w:rPr>
          <w:snapToGrid w:val="0"/>
          <w:sz w:val="22"/>
          <w:szCs w:val="22"/>
          <w:lang w:val="fr"/>
        </w:rPr>
        <w:t>la</w:t>
      </w:r>
      <w:proofErr w:type="gramEnd"/>
      <w:r w:rsidRPr="00AD4E2D">
        <w:rPr>
          <w:snapToGrid w:val="0"/>
          <w:sz w:val="22"/>
          <w:szCs w:val="22"/>
          <w:lang w:val="fr"/>
        </w:rPr>
        <w:t xml:space="preserve"> recalibration ou la correction des résultats. L’incertitude de biais est souvent négligeable par rapport à l’imprécision, et peut alors être ignorée, de sorte que l’imprécision intermédiaire issue des données de contrôle de qualité reflète à elle seule l’incertitude globale des résultats de mesure. Les données de MU doivent être actualisées périodiquement.</w:t>
      </w:r>
    </w:p>
    <w:p w14:paraId="197BD231" w14:textId="77777777" w:rsidR="00724AE5" w:rsidRPr="00AD4E2D" w:rsidRDefault="00AD4E2D" w:rsidP="00AD4E2D">
      <w:pPr>
        <w:pStyle w:val="BodyText"/>
        <w:spacing w:before="240" w:line="228" w:lineRule="auto"/>
        <w:ind w:right="452"/>
        <w:rPr>
          <w:snapToGrid w:val="0"/>
          <w:sz w:val="22"/>
          <w:szCs w:val="22"/>
          <w:lang w:val="fr-FR"/>
        </w:rPr>
      </w:pPr>
      <w:r w:rsidRPr="00AD4E2D">
        <w:rPr>
          <w:snapToGrid w:val="0"/>
          <w:sz w:val="22"/>
          <w:szCs w:val="22"/>
          <w:lang w:val="fr"/>
        </w:rPr>
        <w:t>L’approche « ascendante » (</w:t>
      </w:r>
      <w:proofErr w:type="spellStart"/>
      <w:r w:rsidRPr="00AD4E2D">
        <w:rPr>
          <w:snapToGrid w:val="0"/>
          <w:sz w:val="22"/>
          <w:szCs w:val="22"/>
          <w:lang w:val="fr"/>
        </w:rPr>
        <w:t>bottom</w:t>
      </w:r>
      <w:proofErr w:type="spellEnd"/>
      <w:r w:rsidRPr="00AD4E2D">
        <w:rPr>
          <w:snapToGrid w:val="0"/>
          <w:sz w:val="22"/>
          <w:szCs w:val="22"/>
          <w:lang w:val="fr"/>
        </w:rPr>
        <w:t>-up) consiste à estimer les incertitudes associées à chaque composant du système de mesure, puis à les combiner selon un modèle mathématique afin d’évaluer leur effet global sur le système de mesure. Cette méthode est particulièrement adaptée aux besoins des fabricants de dispositifs médicaux de diagnostic in vitro lors de la validation de nouvelles procédures de mesure, ou pour identifier des étapes techniques susceptibles d’être optimisées afin de réduire la MU. Elle convient également aux laboratoires développant des procédures de mesure internes. Pour une description détaillée de l’approche ascendante, les lecteurs doivent se référer à la récente directive CLSI C-51 [</w:t>
      </w:r>
      <w:hyperlink w:anchor="_bookmark1" w:history="1">
        <w:r w:rsidR="00724AE5" w:rsidRPr="00AD4E2D">
          <w:rPr>
            <w:snapToGrid w:val="0"/>
            <w:color w:val="0000FF"/>
            <w:sz w:val="22"/>
            <w:szCs w:val="22"/>
            <w:u w:val="single"/>
            <w:lang w:val="fr"/>
          </w:rPr>
          <w:t>3</w:t>
        </w:r>
      </w:hyperlink>
      <w:r w:rsidRPr="00AD4E2D">
        <w:rPr>
          <w:snapToGrid w:val="0"/>
          <w:sz w:val="22"/>
          <w:szCs w:val="22"/>
          <w:lang w:val="fr"/>
        </w:rPr>
        <w:t>].</w:t>
      </w:r>
    </w:p>
    <w:p w14:paraId="3E3B574D" w14:textId="77777777" w:rsidR="00724AE5" w:rsidRPr="0042503D" w:rsidRDefault="00AD4E2D" w:rsidP="00AD4E2D">
      <w:pPr>
        <w:pStyle w:val="Heading1"/>
        <w:spacing w:before="300" w:line="228" w:lineRule="auto"/>
        <w:rPr>
          <w:snapToGrid w:val="0"/>
          <w:lang w:val="fr-FR"/>
        </w:rPr>
      </w:pPr>
      <w:r>
        <w:rPr>
          <w:snapToGrid w:val="0"/>
          <w:lang w:val="fr"/>
        </w:rPr>
        <w:t>La MU doit-elle être systématiquement communiquée aux cliniciens ?</w:t>
      </w:r>
    </w:p>
    <w:p w14:paraId="0590F2FA" w14:textId="77777777" w:rsidR="00724AE5" w:rsidRPr="00AD4E2D" w:rsidRDefault="00AD4E2D" w:rsidP="00AD4E2D">
      <w:pPr>
        <w:pStyle w:val="BodyText"/>
        <w:spacing w:before="305" w:line="228" w:lineRule="auto"/>
        <w:ind w:right="809"/>
        <w:rPr>
          <w:snapToGrid w:val="0"/>
          <w:sz w:val="22"/>
          <w:szCs w:val="22"/>
          <w:lang w:val="fr-FR"/>
        </w:rPr>
      </w:pPr>
      <w:r w:rsidRPr="00AD4E2D">
        <w:rPr>
          <w:snapToGrid w:val="0"/>
          <w:sz w:val="22"/>
          <w:szCs w:val="22"/>
          <w:lang w:val="fr"/>
        </w:rPr>
        <w:t>Non. Toutefois, elle devrait être disponible sur demande, par exemple, dans le cadre d’essais cliniques ou de recherches cliniques.</w:t>
      </w:r>
    </w:p>
    <w:p w14:paraId="24C617AB" w14:textId="77777777" w:rsidR="00724AE5" w:rsidRPr="00AD4E2D" w:rsidRDefault="00AD4E2D" w:rsidP="00AD4E2D">
      <w:pPr>
        <w:spacing w:before="280" w:line="228" w:lineRule="auto"/>
        <w:ind w:left="110"/>
        <w:rPr>
          <w:b/>
          <w:snapToGrid w:val="0"/>
          <w:szCs w:val="21"/>
          <w:lang w:val="fr-FR"/>
        </w:rPr>
      </w:pPr>
      <w:r w:rsidRPr="00AD4E2D">
        <w:rPr>
          <w:b/>
          <w:bCs/>
          <w:snapToGrid w:val="0"/>
          <w:szCs w:val="21"/>
          <w:lang w:val="fr"/>
        </w:rPr>
        <w:t>La MU est utile au laboratoire, car elle :</w:t>
      </w:r>
    </w:p>
    <w:p w14:paraId="5E86D376" w14:textId="77777777" w:rsidR="00724AE5" w:rsidRPr="00AD4E2D" w:rsidRDefault="00AD4E2D" w:rsidP="00AD4E2D">
      <w:pPr>
        <w:pStyle w:val="BodyText"/>
        <w:numPr>
          <w:ilvl w:val="0"/>
          <w:numId w:val="3"/>
        </w:numPr>
        <w:spacing w:before="280" w:line="228" w:lineRule="auto"/>
        <w:ind w:left="686"/>
        <w:rPr>
          <w:snapToGrid w:val="0"/>
          <w:sz w:val="22"/>
          <w:szCs w:val="22"/>
          <w:lang w:val="fr-FR"/>
        </w:rPr>
      </w:pPr>
      <w:proofErr w:type="gramStart"/>
      <w:r w:rsidRPr="00AD4E2D">
        <w:rPr>
          <w:snapToGrid w:val="0"/>
          <w:sz w:val="22"/>
          <w:szCs w:val="22"/>
          <w:lang w:val="fr"/>
        </w:rPr>
        <w:t>fournit</w:t>
      </w:r>
      <w:proofErr w:type="gramEnd"/>
      <w:r w:rsidRPr="00AD4E2D">
        <w:rPr>
          <w:snapToGrid w:val="0"/>
          <w:sz w:val="22"/>
          <w:szCs w:val="22"/>
          <w:lang w:val="fr"/>
        </w:rPr>
        <w:t xml:space="preserve"> une preuve quantitative que les résultats de mesure satisfont aux exigences cliniques en matière de fiabilité ;</w:t>
      </w:r>
    </w:p>
    <w:p w14:paraId="756B359F" w14:textId="77777777" w:rsidR="000F5B8A" w:rsidRPr="00AD4E2D" w:rsidRDefault="000F5B8A" w:rsidP="00AD4E2D">
      <w:pPr>
        <w:pStyle w:val="BodyText"/>
        <w:tabs>
          <w:tab w:val="left" w:pos="686"/>
        </w:tabs>
        <w:spacing w:before="240" w:line="228" w:lineRule="auto"/>
        <w:ind w:left="686" w:right="521" w:hanging="368"/>
        <w:rPr>
          <w:rFonts w:ascii="Times New Roman"/>
          <w:snapToGrid w:val="0"/>
          <w:sz w:val="18"/>
          <w:szCs w:val="22"/>
          <w:lang w:val="fr-FR"/>
        </w:rPr>
      </w:pPr>
    </w:p>
    <w:p w14:paraId="2CF51A36" w14:textId="77777777" w:rsidR="000F5B8A" w:rsidRPr="00AD4E2D" w:rsidRDefault="00AD4E2D" w:rsidP="00AD4E2D">
      <w:pPr>
        <w:pStyle w:val="BodyText"/>
        <w:numPr>
          <w:ilvl w:val="0"/>
          <w:numId w:val="6"/>
        </w:numPr>
        <w:spacing w:line="228" w:lineRule="auto"/>
        <w:ind w:left="677" w:right="518"/>
        <w:rPr>
          <w:snapToGrid w:val="0"/>
          <w:sz w:val="22"/>
          <w:szCs w:val="22"/>
          <w:lang w:val="fr-FR"/>
        </w:rPr>
      </w:pPr>
      <w:proofErr w:type="gramStart"/>
      <w:r w:rsidRPr="00AD4E2D">
        <w:rPr>
          <w:snapToGrid w:val="0"/>
          <w:sz w:val="22"/>
          <w:szCs w:val="22"/>
          <w:lang w:val="fr"/>
        </w:rPr>
        <w:t>est</w:t>
      </w:r>
      <w:proofErr w:type="gramEnd"/>
      <w:r w:rsidRPr="00AD4E2D">
        <w:rPr>
          <w:snapToGrid w:val="0"/>
          <w:sz w:val="22"/>
          <w:szCs w:val="22"/>
          <w:lang w:val="fr"/>
        </w:rPr>
        <w:t xml:space="preserve"> indispensable à toute comparaison pertinente des résultats avec des valeurs de référence ou avec des résultats antérieurs obtenus à l’aide de la même procédure de mesure* ;</w:t>
      </w:r>
    </w:p>
    <w:p w14:paraId="51FB506C" w14:textId="77777777" w:rsidR="00724AE5" w:rsidRPr="00AD4E2D" w:rsidRDefault="00AD4E2D" w:rsidP="00AD4E2D">
      <w:pPr>
        <w:pStyle w:val="BodyText"/>
        <w:numPr>
          <w:ilvl w:val="0"/>
          <w:numId w:val="6"/>
        </w:numPr>
        <w:spacing w:line="228" w:lineRule="auto"/>
        <w:ind w:left="675" w:right="362"/>
        <w:rPr>
          <w:rFonts w:ascii="Times New Roman"/>
          <w:snapToGrid w:val="0"/>
          <w:sz w:val="18"/>
          <w:szCs w:val="22"/>
          <w:lang w:val="fr-FR"/>
        </w:rPr>
      </w:pPr>
      <w:proofErr w:type="gramStart"/>
      <w:r w:rsidRPr="00AD4E2D">
        <w:rPr>
          <w:snapToGrid w:val="0"/>
          <w:sz w:val="22"/>
          <w:szCs w:val="22"/>
          <w:lang w:val="fr"/>
        </w:rPr>
        <w:t>peut</w:t>
      </w:r>
      <w:proofErr w:type="gramEnd"/>
      <w:r w:rsidRPr="00AD4E2D">
        <w:rPr>
          <w:snapToGrid w:val="0"/>
          <w:sz w:val="22"/>
          <w:szCs w:val="22"/>
          <w:lang w:val="fr"/>
        </w:rPr>
        <w:t xml:space="preserve"> mettre en évidence des indications sur les étapes techniques susceptibles d’être améliorées, afin de réduire ainsi la MU ;</w:t>
      </w:r>
    </w:p>
    <w:p w14:paraId="31493207" w14:textId="77777777" w:rsidR="00724AE5" w:rsidRPr="00AD4E2D" w:rsidRDefault="00AD4E2D" w:rsidP="00AD4E2D">
      <w:pPr>
        <w:pStyle w:val="BodyText"/>
        <w:numPr>
          <w:ilvl w:val="0"/>
          <w:numId w:val="6"/>
        </w:numPr>
        <w:spacing w:line="228" w:lineRule="auto"/>
        <w:ind w:left="675" w:right="377"/>
        <w:rPr>
          <w:snapToGrid w:val="0"/>
          <w:sz w:val="22"/>
          <w:szCs w:val="22"/>
          <w:lang w:val="fr-FR"/>
        </w:rPr>
      </w:pPr>
      <w:proofErr w:type="gramStart"/>
      <w:r w:rsidRPr="00AD4E2D">
        <w:rPr>
          <w:snapToGrid w:val="0"/>
          <w:sz w:val="22"/>
          <w:szCs w:val="22"/>
          <w:lang w:val="fr"/>
        </w:rPr>
        <w:t>constitue</w:t>
      </w:r>
      <w:proofErr w:type="gramEnd"/>
      <w:r w:rsidRPr="00AD4E2D">
        <w:rPr>
          <w:snapToGrid w:val="0"/>
          <w:sz w:val="22"/>
          <w:szCs w:val="22"/>
          <w:lang w:val="fr"/>
        </w:rPr>
        <w:t xml:space="preserve"> un élément clé de la traçabilité métrologique, permettant de garantir l’harmonisation et la standardisation des résultats de mesure.</w:t>
      </w:r>
    </w:p>
    <w:p w14:paraId="6010F482" w14:textId="77777777" w:rsidR="00724AE5" w:rsidRPr="00AD4E2D" w:rsidRDefault="00AD4E2D" w:rsidP="00AD4E2D">
      <w:pPr>
        <w:pStyle w:val="BodyText"/>
        <w:spacing w:before="300" w:line="228" w:lineRule="auto"/>
        <w:ind w:right="233"/>
        <w:rPr>
          <w:snapToGrid w:val="0"/>
          <w:sz w:val="22"/>
          <w:szCs w:val="22"/>
          <w:lang w:val="fr-FR"/>
        </w:rPr>
      </w:pPr>
      <w:r w:rsidRPr="00AD4E2D">
        <w:rPr>
          <w:snapToGrid w:val="0"/>
          <w:sz w:val="22"/>
          <w:szCs w:val="22"/>
          <w:lang w:val="fr"/>
        </w:rPr>
        <w:t>* La MU permet d’évaluer si un résultat de patient diffère de manière significative, avec un niveau de confiance d’environ 95 %, d’une valeur de référence ou d’un résultat antérieur. Elle peut également être combinée à la variation biologique intra-individuelle, exactement de la même manière que celle décrite par Fraser (4).</w:t>
      </w:r>
    </w:p>
    <w:p w14:paraId="05810163" w14:textId="77777777" w:rsidR="00724AE5" w:rsidRPr="0042503D" w:rsidRDefault="00AD4E2D" w:rsidP="00AD4E2D">
      <w:pPr>
        <w:pStyle w:val="Heading1"/>
        <w:spacing w:before="280" w:line="228" w:lineRule="auto"/>
        <w:rPr>
          <w:snapToGrid w:val="0"/>
          <w:lang w:val="fr-FR"/>
        </w:rPr>
      </w:pPr>
      <w:r>
        <w:rPr>
          <w:snapToGrid w:val="0"/>
          <w:lang w:val="fr"/>
        </w:rPr>
        <w:t>Résumé</w:t>
      </w:r>
      <w:r>
        <w:rPr>
          <w:b w:val="0"/>
          <w:bCs w:val="0"/>
          <w:snapToGrid w:val="0"/>
          <w:lang w:val="fr"/>
        </w:rPr>
        <w:t xml:space="preserve"> — </w:t>
      </w:r>
      <w:r>
        <w:rPr>
          <w:snapToGrid w:val="0"/>
          <w:lang w:val="fr"/>
        </w:rPr>
        <w:t>MU et TE</w:t>
      </w:r>
    </w:p>
    <w:p w14:paraId="411EE47E" w14:textId="77777777" w:rsidR="00724AE5" w:rsidRPr="00AD4E2D" w:rsidRDefault="002A7AF7" w:rsidP="00AD4E2D">
      <w:pPr>
        <w:pStyle w:val="BodyText"/>
        <w:tabs>
          <w:tab w:val="left" w:pos="360"/>
        </w:tabs>
        <w:spacing w:before="280" w:line="228" w:lineRule="auto"/>
        <w:ind w:left="705" w:right="806" w:hanging="403"/>
        <w:rPr>
          <w:snapToGrid w:val="0"/>
          <w:sz w:val="22"/>
          <w:szCs w:val="22"/>
          <w:lang w:val="fr-FR"/>
        </w:rPr>
      </w:pPr>
      <w:r>
        <w:rPr>
          <w:rFonts w:ascii="Arial" w:hAnsi="Arial"/>
          <w:snapToGrid w:val="0"/>
          <w:lang w:val="fr"/>
        </w:rPr>
        <w:t>●</w:t>
      </w:r>
      <w:r>
        <w:rPr>
          <w:snapToGrid w:val="0"/>
          <w:lang w:val="fr"/>
        </w:rPr>
        <w:tab/>
      </w:r>
      <w:r w:rsidRPr="00AD4E2D">
        <w:rPr>
          <w:snapToGrid w:val="0"/>
          <w:sz w:val="22"/>
          <w:szCs w:val="22"/>
          <w:lang w:val="fr"/>
        </w:rPr>
        <w:t>La TE fournit une valeur approximative maximale de l’erreur d’un système de mesure.</w:t>
      </w:r>
    </w:p>
    <w:p w14:paraId="59309215" w14:textId="77777777" w:rsidR="00724AE5" w:rsidRPr="00AD4E2D" w:rsidRDefault="002A7AF7" w:rsidP="00AD4E2D">
      <w:pPr>
        <w:pStyle w:val="BodyText"/>
        <w:tabs>
          <w:tab w:val="num" w:pos="693"/>
        </w:tabs>
        <w:spacing w:line="228" w:lineRule="auto"/>
        <w:ind w:left="693" w:right="374" w:hanging="391"/>
        <w:rPr>
          <w:snapToGrid w:val="0"/>
          <w:sz w:val="22"/>
          <w:szCs w:val="22"/>
          <w:lang w:val="fr-FR"/>
        </w:rPr>
      </w:pPr>
      <w:r w:rsidRPr="00AD4E2D">
        <w:rPr>
          <w:rFonts w:ascii="Arial" w:hAnsi="Arial"/>
          <w:snapToGrid w:val="0"/>
          <w:sz w:val="22"/>
          <w:szCs w:val="22"/>
          <w:lang w:val="fr"/>
        </w:rPr>
        <w:t>●</w:t>
      </w:r>
      <w:r w:rsidRPr="00AD4E2D">
        <w:rPr>
          <w:snapToGrid w:val="0"/>
          <w:sz w:val="22"/>
          <w:szCs w:val="22"/>
          <w:lang w:val="fr"/>
        </w:rPr>
        <w:tab/>
        <w:t>La TE ne tient pas compte du fait que chaque résultat individuel de patient pourrait comporter une erreur moindre que Biais + écart-type 1,65.</w:t>
      </w:r>
    </w:p>
    <w:p w14:paraId="37612771" w14:textId="77777777" w:rsidR="00724AE5" w:rsidRPr="00AD4E2D" w:rsidRDefault="002A7AF7" w:rsidP="00AD4E2D">
      <w:pPr>
        <w:pStyle w:val="BodyText"/>
        <w:tabs>
          <w:tab w:val="num" w:pos="693"/>
          <w:tab w:val="num" w:pos="1550"/>
        </w:tabs>
        <w:spacing w:line="228" w:lineRule="auto"/>
        <w:ind w:left="306"/>
        <w:rPr>
          <w:snapToGrid w:val="0"/>
          <w:sz w:val="22"/>
          <w:szCs w:val="22"/>
          <w:lang w:val="fr-FR"/>
        </w:rPr>
      </w:pPr>
      <w:r w:rsidRPr="00AD4E2D">
        <w:rPr>
          <w:rFonts w:ascii="Arial" w:hAnsi="Arial"/>
          <w:snapToGrid w:val="0"/>
          <w:sz w:val="22"/>
          <w:szCs w:val="22"/>
          <w:lang w:val="fr"/>
        </w:rPr>
        <w:t>●</w:t>
      </w:r>
      <w:r w:rsidRPr="00AD4E2D">
        <w:rPr>
          <w:snapToGrid w:val="0"/>
          <w:sz w:val="22"/>
          <w:szCs w:val="22"/>
          <w:lang w:val="fr"/>
        </w:rPr>
        <w:tab/>
        <w:t xml:space="preserve">La </w:t>
      </w:r>
      <w:proofErr w:type="gramStart"/>
      <w:r w:rsidRPr="00AD4E2D">
        <w:rPr>
          <w:snapToGrid w:val="0"/>
          <w:sz w:val="22"/>
          <w:szCs w:val="22"/>
          <w:lang w:val="fr"/>
        </w:rPr>
        <w:t>TE est</w:t>
      </w:r>
      <w:proofErr w:type="gramEnd"/>
      <w:r w:rsidRPr="00AD4E2D">
        <w:rPr>
          <w:snapToGrid w:val="0"/>
          <w:sz w:val="22"/>
          <w:szCs w:val="22"/>
          <w:lang w:val="fr"/>
        </w:rPr>
        <w:t xml:space="preserve"> utile pour définir les limites supérieures d’erreur admissible.</w:t>
      </w:r>
    </w:p>
    <w:p w14:paraId="2532DE8A" w14:textId="77777777" w:rsidR="00724AE5" w:rsidRPr="00AD4E2D" w:rsidRDefault="002A7AF7" w:rsidP="00AD4E2D">
      <w:pPr>
        <w:pStyle w:val="BodyText"/>
        <w:tabs>
          <w:tab w:val="num" w:pos="693"/>
          <w:tab w:val="left" w:pos="9288"/>
        </w:tabs>
        <w:spacing w:before="16" w:line="228" w:lineRule="auto"/>
        <w:ind w:left="702" w:right="1541" w:hanging="396"/>
        <w:jc w:val="both"/>
        <w:rPr>
          <w:snapToGrid w:val="0"/>
          <w:sz w:val="22"/>
          <w:szCs w:val="22"/>
          <w:lang w:val="fr-FR"/>
        </w:rPr>
      </w:pPr>
      <w:r w:rsidRPr="00AD4E2D">
        <w:rPr>
          <w:rFonts w:ascii="Arial" w:hAnsi="Arial"/>
          <w:snapToGrid w:val="0"/>
          <w:sz w:val="22"/>
          <w:szCs w:val="22"/>
          <w:lang w:val="fr"/>
        </w:rPr>
        <w:t>●</w:t>
      </w:r>
      <w:r w:rsidRPr="00AD4E2D">
        <w:rPr>
          <w:snapToGrid w:val="0"/>
          <w:sz w:val="22"/>
          <w:szCs w:val="22"/>
          <w:lang w:val="fr"/>
        </w:rPr>
        <w:tab/>
        <w:t>La MU ne vise pas à estimer l’erreur totale d’un système de mesure</w:t>
      </w:r>
    </w:p>
    <w:p w14:paraId="2B90085C" w14:textId="77777777" w:rsidR="00724AE5" w:rsidRPr="00AD4E2D" w:rsidRDefault="002A7AF7" w:rsidP="00AD4E2D">
      <w:pPr>
        <w:pStyle w:val="BodyText"/>
        <w:spacing w:line="228" w:lineRule="auto"/>
        <w:ind w:left="702" w:right="521" w:hanging="396"/>
        <w:rPr>
          <w:snapToGrid w:val="0"/>
          <w:sz w:val="22"/>
          <w:szCs w:val="22"/>
          <w:lang w:val="fr-FR"/>
        </w:rPr>
      </w:pPr>
      <w:r w:rsidRPr="00AD4E2D">
        <w:rPr>
          <w:rFonts w:ascii="Arial" w:hAnsi="Arial"/>
          <w:snapToGrid w:val="0"/>
          <w:sz w:val="22"/>
          <w:szCs w:val="22"/>
          <w:lang w:val="fr"/>
        </w:rPr>
        <w:t>●</w:t>
      </w:r>
      <w:r w:rsidRPr="00AD4E2D">
        <w:rPr>
          <w:snapToGrid w:val="0"/>
          <w:sz w:val="22"/>
          <w:szCs w:val="22"/>
          <w:lang w:val="fr"/>
        </w:rPr>
        <w:tab/>
        <w:t>L’incertitude de mesure (UM) permet d’estimer un intervalle de valeurs dans lequel la valeur « réelle » d’un analyte mesuré est censée se situer, avec un niveau de confiance donné.</w:t>
      </w:r>
    </w:p>
    <w:p w14:paraId="4F9D7C0D" w14:textId="77777777" w:rsidR="00724AE5" w:rsidRPr="00AD4E2D" w:rsidRDefault="002A7AF7" w:rsidP="00AD4E2D">
      <w:pPr>
        <w:pStyle w:val="BodyText"/>
        <w:spacing w:line="228" w:lineRule="auto"/>
        <w:ind w:left="693" w:hanging="387"/>
        <w:rPr>
          <w:snapToGrid w:val="0"/>
          <w:sz w:val="22"/>
          <w:szCs w:val="22"/>
          <w:lang w:val="fr-FR"/>
        </w:rPr>
      </w:pPr>
      <w:r w:rsidRPr="00AD4E2D">
        <w:rPr>
          <w:rFonts w:ascii="Arial" w:hAnsi="Arial"/>
          <w:snapToGrid w:val="0"/>
          <w:sz w:val="22"/>
          <w:szCs w:val="22"/>
          <w:lang w:val="fr"/>
        </w:rPr>
        <w:t>●</w:t>
      </w:r>
      <w:r w:rsidRPr="00AD4E2D">
        <w:rPr>
          <w:snapToGrid w:val="0"/>
          <w:sz w:val="22"/>
          <w:szCs w:val="22"/>
          <w:lang w:val="fr"/>
        </w:rPr>
        <w:tab/>
        <w:t>Tout biais connu est éliminé ou minimisé.</w:t>
      </w:r>
    </w:p>
    <w:p w14:paraId="67ACD543" w14:textId="77777777" w:rsidR="00724AE5" w:rsidRPr="00AD4E2D" w:rsidRDefault="002A7AF7" w:rsidP="00AD4E2D">
      <w:pPr>
        <w:pStyle w:val="BodyText"/>
        <w:tabs>
          <w:tab w:val="num" w:pos="693"/>
        </w:tabs>
        <w:spacing w:before="16" w:line="228" w:lineRule="auto"/>
        <w:ind w:left="684" w:right="233" w:hanging="378"/>
        <w:rPr>
          <w:snapToGrid w:val="0"/>
          <w:sz w:val="22"/>
          <w:szCs w:val="22"/>
          <w:lang w:val="fr-FR"/>
        </w:rPr>
      </w:pPr>
      <w:r w:rsidRPr="00AD4E2D">
        <w:rPr>
          <w:rFonts w:ascii="Arial" w:hAnsi="Arial"/>
          <w:snapToGrid w:val="0"/>
          <w:sz w:val="22"/>
          <w:szCs w:val="22"/>
          <w:lang w:val="fr"/>
        </w:rPr>
        <w:t>●</w:t>
      </w:r>
      <w:r w:rsidRPr="00AD4E2D">
        <w:rPr>
          <w:snapToGrid w:val="0"/>
          <w:sz w:val="22"/>
          <w:szCs w:val="22"/>
          <w:lang w:val="fr"/>
        </w:rPr>
        <w:tab/>
        <w:t>LA MU considère le résultat de mesure unique comme la meilleure estimation de la valeur réelle, et définit autour de ce résultat une dispersion possible des valeurs qui auraient pu être obtenues si la mesure avait été répétée (généralement avec un niveau de confiance d’environ 95 %).</w:t>
      </w:r>
    </w:p>
    <w:p w14:paraId="6C7E63AC" w14:textId="77777777" w:rsidR="00724AE5" w:rsidRPr="00AD4E2D" w:rsidRDefault="002A7AF7" w:rsidP="00AD4E2D">
      <w:pPr>
        <w:pStyle w:val="BodyText"/>
        <w:spacing w:line="228" w:lineRule="auto"/>
        <w:ind w:left="693" w:right="230" w:hanging="391"/>
        <w:rPr>
          <w:snapToGrid w:val="0"/>
          <w:sz w:val="22"/>
          <w:szCs w:val="22"/>
          <w:lang w:val="fr-FR"/>
        </w:rPr>
      </w:pPr>
      <w:r w:rsidRPr="00AD4E2D">
        <w:rPr>
          <w:rFonts w:ascii="Arial" w:hAnsi="Arial"/>
          <w:snapToGrid w:val="0"/>
          <w:sz w:val="22"/>
          <w:szCs w:val="22"/>
          <w:lang w:val="fr"/>
        </w:rPr>
        <w:t>●</w:t>
      </w:r>
      <w:r w:rsidRPr="00AD4E2D">
        <w:rPr>
          <w:snapToGrid w:val="0"/>
          <w:sz w:val="22"/>
          <w:szCs w:val="22"/>
          <w:lang w:val="fr"/>
        </w:rPr>
        <w:tab/>
        <w:t>La MU est l’approche appropriée pour toute comparaison significative de résultats de mesure avec les valeurs de référence ou avec des résultats antérieurs du même type.</w:t>
      </w:r>
    </w:p>
    <w:p w14:paraId="47C2B2BF" w14:textId="77777777" w:rsidR="00724AE5" w:rsidRPr="0050288E" w:rsidRDefault="00AD4E2D" w:rsidP="00AD4E2D">
      <w:pPr>
        <w:pStyle w:val="Heading1"/>
        <w:spacing w:before="240" w:line="228" w:lineRule="auto"/>
        <w:rPr>
          <w:snapToGrid w:val="0"/>
        </w:rPr>
      </w:pPr>
      <w:r>
        <w:rPr>
          <w:snapToGrid w:val="0"/>
          <w:lang w:val="fr"/>
        </w:rPr>
        <w:t>Références</w:t>
      </w:r>
    </w:p>
    <w:p w14:paraId="13502D92" w14:textId="77777777" w:rsidR="00724AE5" w:rsidRPr="00AD4E2D" w:rsidRDefault="00AD4E2D" w:rsidP="00AD4E2D">
      <w:pPr>
        <w:pStyle w:val="ListParagraph"/>
        <w:numPr>
          <w:ilvl w:val="0"/>
          <w:numId w:val="1"/>
        </w:numPr>
        <w:tabs>
          <w:tab w:val="left" w:pos="686"/>
        </w:tabs>
        <w:spacing w:before="304" w:line="228" w:lineRule="auto"/>
        <w:ind w:right="1097"/>
        <w:rPr>
          <w:snapToGrid w:val="0"/>
        </w:rPr>
      </w:pPr>
      <w:r w:rsidRPr="00AD4E2D">
        <w:rPr>
          <w:snapToGrid w:val="0"/>
          <w:lang w:val="en-IN"/>
        </w:rPr>
        <w:t xml:space="preserve">White GH. Basics of estimating measurement uncertainty. </w:t>
      </w:r>
      <w:r w:rsidRPr="00AD4E2D">
        <w:rPr>
          <w:snapToGrid w:val="0"/>
          <w:lang w:val="fr"/>
        </w:rPr>
        <w:t xml:space="preserve">Clin </w:t>
      </w:r>
      <w:proofErr w:type="spellStart"/>
      <w:r w:rsidRPr="00AD4E2D">
        <w:rPr>
          <w:snapToGrid w:val="0"/>
          <w:lang w:val="fr"/>
        </w:rPr>
        <w:t>Biochem</w:t>
      </w:r>
      <w:proofErr w:type="spellEnd"/>
      <w:r w:rsidRPr="00AD4E2D">
        <w:rPr>
          <w:snapToGrid w:val="0"/>
          <w:lang w:val="fr"/>
        </w:rPr>
        <w:t xml:space="preserve"> </w:t>
      </w:r>
      <w:proofErr w:type="spellStart"/>
      <w:r w:rsidRPr="00AD4E2D">
        <w:rPr>
          <w:snapToGrid w:val="0"/>
          <w:lang w:val="fr"/>
        </w:rPr>
        <w:t>Rev</w:t>
      </w:r>
      <w:proofErr w:type="spellEnd"/>
      <w:r w:rsidRPr="00AD4E2D">
        <w:rPr>
          <w:snapToGrid w:val="0"/>
          <w:lang w:val="fr"/>
        </w:rPr>
        <w:t xml:space="preserve"> </w:t>
      </w:r>
      <w:proofErr w:type="gramStart"/>
      <w:r w:rsidRPr="00AD4E2D">
        <w:rPr>
          <w:snapToGrid w:val="0"/>
          <w:lang w:val="fr"/>
        </w:rPr>
        <w:t>2008;29:S</w:t>
      </w:r>
      <w:proofErr w:type="gramEnd"/>
      <w:r w:rsidRPr="00AD4E2D">
        <w:rPr>
          <w:snapToGrid w:val="0"/>
          <w:lang w:val="fr"/>
        </w:rPr>
        <w:t>53-S60.</w:t>
      </w:r>
    </w:p>
    <w:p w14:paraId="05F0E7E6" w14:textId="77777777" w:rsidR="00724AE5" w:rsidRPr="00AD4E2D" w:rsidRDefault="00AD4E2D" w:rsidP="00AD4E2D">
      <w:pPr>
        <w:pStyle w:val="ListParagraph"/>
        <w:numPr>
          <w:ilvl w:val="0"/>
          <w:numId w:val="1"/>
        </w:numPr>
        <w:tabs>
          <w:tab w:val="left" w:pos="686"/>
        </w:tabs>
        <w:spacing w:line="228" w:lineRule="auto"/>
        <w:ind w:right="953"/>
        <w:rPr>
          <w:snapToGrid w:val="0"/>
        </w:rPr>
      </w:pPr>
      <w:r w:rsidRPr="00AD4E2D">
        <w:rPr>
          <w:snapToGrid w:val="0"/>
          <w:lang w:val="en-IN"/>
        </w:rPr>
        <w:t xml:space="preserve">Requirements for the estimation of measurement uncertainty. National Pathology Accreditation Advisory Council, Australian Government Department of Health and Ageing, 2007. </w:t>
      </w:r>
      <w:hyperlink r:id="rId9">
        <w:r w:rsidR="00724AE5" w:rsidRPr="00AD4E2D">
          <w:rPr>
            <w:snapToGrid w:val="0"/>
            <w:lang w:val="fr"/>
          </w:rPr>
          <w:t>www.health.gov.au</w:t>
        </w:r>
      </w:hyperlink>
      <w:r w:rsidRPr="00AD4E2D">
        <w:rPr>
          <w:snapToGrid w:val="0"/>
          <w:lang w:val="fr"/>
        </w:rPr>
        <w:t xml:space="preserve"> NPAAC publications (consulté le 02/04/2012).</w:t>
      </w:r>
    </w:p>
    <w:p w14:paraId="05FD1C54" w14:textId="77777777" w:rsidR="00724AE5" w:rsidRPr="00AD4E2D" w:rsidRDefault="00AD4E2D" w:rsidP="00AD4E2D">
      <w:pPr>
        <w:pStyle w:val="ListParagraph"/>
        <w:numPr>
          <w:ilvl w:val="0"/>
          <w:numId w:val="1"/>
        </w:numPr>
        <w:tabs>
          <w:tab w:val="left" w:pos="686"/>
        </w:tabs>
        <w:spacing w:line="228" w:lineRule="auto"/>
        <w:ind w:right="1385"/>
        <w:rPr>
          <w:snapToGrid w:val="0"/>
        </w:rPr>
      </w:pPr>
      <w:r w:rsidRPr="00AD4E2D">
        <w:rPr>
          <w:snapToGrid w:val="0"/>
          <w:lang w:val="en-IN"/>
        </w:rPr>
        <w:t xml:space="preserve">C51-A. Expression of Measurement Uncertainty in Laboratory Medicine. </w:t>
      </w:r>
      <w:r w:rsidRPr="00AD4E2D">
        <w:rPr>
          <w:snapToGrid w:val="0"/>
          <w:lang w:val="fr"/>
        </w:rPr>
        <w:t xml:space="preserve">CLSI, Wayne, </w:t>
      </w:r>
      <w:proofErr w:type="spellStart"/>
      <w:r w:rsidRPr="00AD4E2D">
        <w:rPr>
          <w:snapToGrid w:val="0"/>
          <w:lang w:val="fr"/>
        </w:rPr>
        <w:t>Pennsylvania</w:t>
      </w:r>
      <w:proofErr w:type="spellEnd"/>
      <w:r w:rsidRPr="00AD4E2D">
        <w:rPr>
          <w:snapToGrid w:val="0"/>
          <w:lang w:val="fr"/>
        </w:rPr>
        <w:t>.</w:t>
      </w:r>
    </w:p>
    <w:p w14:paraId="5A3477B7" w14:textId="77777777" w:rsidR="00724AE5" w:rsidRPr="00AD4E2D" w:rsidRDefault="00AD4E2D" w:rsidP="00AD4E2D">
      <w:pPr>
        <w:pStyle w:val="ListParagraph"/>
        <w:numPr>
          <w:ilvl w:val="0"/>
          <w:numId w:val="1"/>
        </w:numPr>
        <w:tabs>
          <w:tab w:val="left" w:pos="685"/>
          <w:tab w:val="left" w:pos="757"/>
        </w:tabs>
        <w:spacing w:line="228" w:lineRule="auto"/>
        <w:ind w:left="757" w:right="953" w:hanging="591"/>
        <w:rPr>
          <w:snapToGrid w:val="0"/>
        </w:rPr>
      </w:pPr>
      <w:r w:rsidRPr="00AD4E2D">
        <w:rPr>
          <w:snapToGrid w:val="0"/>
          <w:lang w:val="en-IN"/>
        </w:rPr>
        <w:t xml:space="preserve">Fraser CG. Biological variation: From principles to practice. </w:t>
      </w:r>
      <w:proofErr w:type="gramStart"/>
      <w:r w:rsidRPr="00AD4E2D">
        <w:rPr>
          <w:snapToGrid w:val="0"/>
          <w:lang w:val="fr"/>
        </w:rPr>
        <w:t>2001;</w:t>
      </w:r>
      <w:proofErr w:type="gramEnd"/>
      <w:r w:rsidRPr="00AD4E2D">
        <w:rPr>
          <w:snapToGrid w:val="0"/>
          <w:lang w:val="fr"/>
        </w:rPr>
        <w:t xml:space="preserve"> AACC </w:t>
      </w:r>
      <w:proofErr w:type="spellStart"/>
      <w:r w:rsidRPr="00AD4E2D">
        <w:rPr>
          <w:snapToGrid w:val="0"/>
          <w:lang w:val="fr"/>
        </w:rPr>
        <w:t>Press</w:t>
      </w:r>
      <w:proofErr w:type="spellEnd"/>
      <w:r w:rsidRPr="00AD4E2D">
        <w:rPr>
          <w:snapToGrid w:val="0"/>
          <w:lang w:val="fr"/>
        </w:rPr>
        <w:t>, Washington DC.</w:t>
      </w:r>
    </w:p>
    <w:sectPr w:rsidR="00724AE5" w:rsidRPr="00AD4E2D" w:rsidSect="00C87F4C">
      <w:headerReference w:type="even" r:id="rId10"/>
      <w:headerReference w:type="default" r:id="rId11"/>
      <w:footerReference w:type="default" r:id="rId12"/>
      <w:headerReference w:type="first" r:id="rId13"/>
      <w:pgSz w:w="11910" w:h="16840"/>
      <w:pgMar w:top="1555" w:right="734" w:bottom="1179" w:left="734" w:header="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19FF2" w14:textId="77777777" w:rsidR="009F06B0" w:rsidRDefault="009F06B0">
      <w:r>
        <w:separator/>
      </w:r>
    </w:p>
  </w:endnote>
  <w:endnote w:type="continuationSeparator" w:id="0">
    <w:p w14:paraId="47B2C59E" w14:textId="77777777" w:rsidR="009F06B0" w:rsidRDefault="009F0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BE6E7" w14:textId="77777777" w:rsidR="00070B74" w:rsidRPr="00F6462C" w:rsidRDefault="00070B74" w:rsidP="0061054E">
    <w:pPr>
      <w:pStyle w:val="Footer"/>
      <w:ind w:right="116"/>
      <w:jc w:val="right"/>
      <w:rPr>
        <w:color w:val="AFAFAF"/>
        <w:sz w:val="16"/>
        <w:szCs w:val="16"/>
        <w:u w:val="single"/>
      </w:rPr>
    </w:pPr>
    <w:hyperlink r:id="rId1" w:history="1">
      <w:proofErr w:type="spellStart"/>
      <w:r>
        <w:rPr>
          <w:rStyle w:val="Hyperlink"/>
          <w:color w:val="AFAFAF"/>
          <w:sz w:val="16"/>
          <w:szCs w:val="16"/>
          <w:lang w:val="fr"/>
        </w:rPr>
        <w:t>Phoca</w:t>
      </w:r>
      <w:proofErr w:type="spellEnd"/>
      <w:r>
        <w:rPr>
          <w:rStyle w:val="Hyperlink"/>
          <w:color w:val="AFAFAF"/>
          <w:sz w:val="16"/>
          <w:szCs w:val="16"/>
          <w:lang w:val="fr"/>
        </w:rPr>
        <w:t xml:space="preserve"> PDF</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0300E" w14:textId="77777777" w:rsidR="009F06B0" w:rsidRDefault="009F06B0">
      <w:r>
        <w:separator/>
      </w:r>
    </w:p>
  </w:footnote>
  <w:footnote w:type="continuationSeparator" w:id="0">
    <w:p w14:paraId="40670FD8" w14:textId="77777777" w:rsidR="009F06B0" w:rsidRDefault="009F06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4C928" w14:textId="77777777" w:rsidR="00070B74" w:rsidRDefault="00070B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6427E" w14:textId="77777777" w:rsidR="00070B74" w:rsidRDefault="00070B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77AFC" w14:textId="77777777" w:rsidR="00070B74" w:rsidRDefault="00070B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CE2BCE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21202617" o:spid="_x0000_i1025" type="#_x0000_t75" style="width:9.75pt;height:9.75pt;visibility:visible;mso-wrap-style:square">
            <v:imagedata r:id="rId1" o:title=""/>
            <o:lock v:ext="edit" aspectratio="f"/>
          </v:shape>
        </w:pict>
      </mc:Choice>
      <mc:Fallback>
        <w:drawing>
          <wp:inline distT="0" distB="0" distL="0" distR="0" wp14:anchorId="377FEBE9" wp14:editId="418A1699">
            <wp:extent cx="123825" cy="123825"/>
            <wp:effectExtent l="0" t="0" r="0" b="0"/>
            <wp:docPr id="2021202617" name="Picture 20212026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mc:Fallback>
    </mc:AlternateContent>
  </w:numPicBullet>
  <w:numPicBullet w:numPicBulletId="1">
    <mc:AlternateContent>
      <mc:Choice Requires="v">
        <w:pict>
          <v:shape w14:anchorId="44A4FDEF" id="Picture 514635039" o:spid="_x0000_i1025" type="#_x0000_t75" style="width:8.25pt;height:8.25pt;visibility:visible;mso-wrap-style:square">
            <v:imagedata r:id="rId3" o:title=""/>
            <o:lock v:ext="edit" aspectratio="f"/>
          </v:shape>
        </w:pict>
      </mc:Choice>
      <mc:Fallback>
        <w:drawing>
          <wp:inline distT="0" distB="0" distL="0" distR="0" wp14:anchorId="6991B3F6" wp14:editId="15B1D00B">
            <wp:extent cx="104775" cy="104775"/>
            <wp:effectExtent l="0" t="0" r="0" b="0"/>
            <wp:docPr id="514635039" name="Picture 5146350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22"/>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mc:Fallback>
    </mc:AlternateContent>
  </w:numPicBullet>
  <w:abstractNum w:abstractNumId="0" w15:restartNumberingAfterBreak="0">
    <w:nsid w:val="2451038D"/>
    <w:multiLevelType w:val="hybridMultilevel"/>
    <w:tmpl w:val="C382F1FE"/>
    <w:lvl w:ilvl="0" w:tplc="49628734">
      <w:start w:val="1"/>
      <w:numFmt w:val="bullet"/>
      <w:lvlText w:val=""/>
      <w:lvlJc w:val="left"/>
      <w:pPr>
        <w:ind w:left="720" w:hanging="360"/>
      </w:pPr>
      <w:rPr>
        <w:rFonts w:ascii="Symbol" w:hAnsi="Symbol" w:hint="default"/>
        <w:color w:val="0000FF"/>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250A38F2"/>
    <w:multiLevelType w:val="hybridMultilevel"/>
    <w:tmpl w:val="C122CBFC"/>
    <w:lvl w:ilvl="0" w:tplc="7C3C7CCA">
      <w:start w:val="1"/>
      <w:numFmt w:val="bullet"/>
      <w:lvlText w:val=""/>
      <w:lvlJc w:val="left"/>
      <w:pPr>
        <w:ind w:left="1054" w:hanging="360"/>
      </w:pPr>
      <w:rPr>
        <w:rFonts w:ascii="Symbol" w:hAnsi="Symbol" w:hint="default"/>
        <w:color w:val="auto"/>
      </w:rPr>
    </w:lvl>
    <w:lvl w:ilvl="1" w:tplc="40090003" w:tentative="1">
      <w:start w:val="1"/>
      <w:numFmt w:val="bullet"/>
      <w:lvlText w:val="o"/>
      <w:lvlJc w:val="left"/>
      <w:pPr>
        <w:ind w:left="1774" w:hanging="360"/>
      </w:pPr>
      <w:rPr>
        <w:rFonts w:ascii="Courier New" w:hAnsi="Courier New" w:cs="Courier New" w:hint="default"/>
      </w:rPr>
    </w:lvl>
    <w:lvl w:ilvl="2" w:tplc="40090005" w:tentative="1">
      <w:start w:val="1"/>
      <w:numFmt w:val="bullet"/>
      <w:lvlText w:val=""/>
      <w:lvlJc w:val="left"/>
      <w:pPr>
        <w:ind w:left="2494" w:hanging="360"/>
      </w:pPr>
      <w:rPr>
        <w:rFonts w:ascii="Wingdings" w:hAnsi="Wingdings" w:hint="default"/>
      </w:rPr>
    </w:lvl>
    <w:lvl w:ilvl="3" w:tplc="40090001" w:tentative="1">
      <w:start w:val="1"/>
      <w:numFmt w:val="bullet"/>
      <w:lvlText w:val=""/>
      <w:lvlJc w:val="left"/>
      <w:pPr>
        <w:ind w:left="3214" w:hanging="360"/>
      </w:pPr>
      <w:rPr>
        <w:rFonts w:ascii="Symbol" w:hAnsi="Symbol" w:hint="default"/>
      </w:rPr>
    </w:lvl>
    <w:lvl w:ilvl="4" w:tplc="40090003" w:tentative="1">
      <w:start w:val="1"/>
      <w:numFmt w:val="bullet"/>
      <w:lvlText w:val="o"/>
      <w:lvlJc w:val="left"/>
      <w:pPr>
        <w:ind w:left="3934" w:hanging="360"/>
      </w:pPr>
      <w:rPr>
        <w:rFonts w:ascii="Courier New" w:hAnsi="Courier New" w:cs="Courier New" w:hint="default"/>
      </w:rPr>
    </w:lvl>
    <w:lvl w:ilvl="5" w:tplc="40090005" w:tentative="1">
      <w:start w:val="1"/>
      <w:numFmt w:val="bullet"/>
      <w:lvlText w:val=""/>
      <w:lvlJc w:val="left"/>
      <w:pPr>
        <w:ind w:left="4654" w:hanging="360"/>
      </w:pPr>
      <w:rPr>
        <w:rFonts w:ascii="Wingdings" w:hAnsi="Wingdings" w:hint="default"/>
      </w:rPr>
    </w:lvl>
    <w:lvl w:ilvl="6" w:tplc="40090001" w:tentative="1">
      <w:start w:val="1"/>
      <w:numFmt w:val="bullet"/>
      <w:lvlText w:val=""/>
      <w:lvlJc w:val="left"/>
      <w:pPr>
        <w:ind w:left="5374" w:hanging="360"/>
      </w:pPr>
      <w:rPr>
        <w:rFonts w:ascii="Symbol" w:hAnsi="Symbol" w:hint="default"/>
      </w:rPr>
    </w:lvl>
    <w:lvl w:ilvl="7" w:tplc="40090003" w:tentative="1">
      <w:start w:val="1"/>
      <w:numFmt w:val="bullet"/>
      <w:lvlText w:val="o"/>
      <w:lvlJc w:val="left"/>
      <w:pPr>
        <w:ind w:left="6094" w:hanging="360"/>
      </w:pPr>
      <w:rPr>
        <w:rFonts w:ascii="Courier New" w:hAnsi="Courier New" w:cs="Courier New" w:hint="default"/>
      </w:rPr>
    </w:lvl>
    <w:lvl w:ilvl="8" w:tplc="40090005" w:tentative="1">
      <w:start w:val="1"/>
      <w:numFmt w:val="bullet"/>
      <w:lvlText w:val=""/>
      <w:lvlJc w:val="left"/>
      <w:pPr>
        <w:ind w:left="6814" w:hanging="360"/>
      </w:pPr>
      <w:rPr>
        <w:rFonts w:ascii="Wingdings" w:hAnsi="Wingdings" w:hint="default"/>
      </w:rPr>
    </w:lvl>
  </w:abstractNum>
  <w:abstractNum w:abstractNumId="2" w15:restartNumberingAfterBreak="0">
    <w:nsid w:val="31147B21"/>
    <w:multiLevelType w:val="hybridMultilevel"/>
    <w:tmpl w:val="0E54FE34"/>
    <w:lvl w:ilvl="0" w:tplc="9F42345C">
      <w:start w:val="1"/>
      <w:numFmt w:val="decimal"/>
      <w:lvlText w:val="%1."/>
      <w:lvlJc w:val="left"/>
      <w:pPr>
        <w:ind w:left="686" w:hanging="520"/>
      </w:pPr>
      <w:rPr>
        <w:rFonts w:ascii="Courier New" w:eastAsia="Courier New" w:hAnsi="Courier New" w:cs="Courier New" w:hint="default"/>
        <w:b w:val="0"/>
        <w:bCs w:val="0"/>
        <w:i w:val="0"/>
        <w:iCs w:val="0"/>
        <w:spacing w:val="0"/>
        <w:w w:val="99"/>
        <w:sz w:val="24"/>
        <w:szCs w:val="24"/>
        <w:u w:val="single" w:color="000000"/>
        <w:lang w:val="en-US" w:eastAsia="en-US" w:bidi="ar-SA"/>
      </w:rPr>
    </w:lvl>
    <w:lvl w:ilvl="1" w:tplc="2EB2C6F4">
      <w:numFmt w:val="bullet"/>
      <w:lvlText w:val="•"/>
      <w:lvlJc w:val="left"/>
      <w:pPr>
        <w:ind w:left="1654" w:hanging="520"/>
      </w:pPr>
      <w:rPr>
        <w:rFonts w:hint="default"/>
        <w:lang w:val="en-US" w:eastAsia="en-US" w:bidi="ar-SA"/>
      </w:rPr>
    </w:lvl>
    <w:lvl w:ilvl="2" w:tplc="0EA419B2">
      <w:numFmt w:val="bullet"/>
      <w:lvlText w:val="•"/>
      <w:lvlJc w:val="left"/>
      <w:pPr>
        <w:ind w:left="2629" w:hanging="520"/>
      </w:pPr>
      <w:rPr>
        <w:rFonts w:hint="default"/>
        <w:lang w:val="en-US" w:eastAsia="en-US" w:bidi="ar-SA"/>
      </w:rPr>
    </w:lvl>
    <w:lvl w:ilvl="3" w:tplc="03A29BFA">
      <w:numFmt w:val="bullet"/>
      <w:lvlText w:val="•"/>
      <w:lvlJc w:val="left"/>
      <w:pPr>
        <w:ind w:left="3603" w:hanging="520"/>
      </w:pPr>
      <w:rPr>
        <w:rFonts w:hint="default"/>
        <w:lang w:val="en-US" w:eastAsia="en-US" w:bidi="ar-SA"/>
      </w:rPr>
    </w:lvl>
    <w:lvl w:ilvl="4" w:tplc="5D62DAAC">
      <w:numFmt w:val="bullet"/>
      <w:lvlText w:val="•"/>
      <w:lvlJc w:val="left"/>
      <w:pPr>
        <w:ind w:left="4578" w:hanging="520"/>
      </w:pPr>
      <w:rPr>
        <w:rFonts w:hint="default"/>
        <w:lang w:val="en-US" w:eastAsia="en-US" w:bidi="ar-SA"/>
      </w:rPr>
    </w:lvl>
    <w:lvl w:ilvl="5" w:tplc="9216B9F4">
      <w:numFmt w:val="bullet"/>
      <w:lvlText w:val="•"/>
      <w:lvlJc w:val="left"/>
      <w:pPr>
        <w:ind w:left="5552" w:hanging="520"/>
      </w:pPr>
      <w:rPr>
        <w:rFonts w:hint="default"/>
        <w:lang w:val="en-US" w:eastAsia="en-US" w:bidi="ar-SA"/>
      </w:rPr>
    </w:lvl>
    <w:lvl w:ilvl="6" w:tplc="730AD018">
      <w:numFmt w:val="bullet"/>
      <w:lvlText w:val="•"/>
      <w:lvlJc w:val="left"/>
      <w:pPr>
        <w:ind w:left="6527" w:hanging="520"/>
      </w:pPr>
      <w:rPr>
        <w:rFonts w:hint="default"/>
        <w:lang w:val="en-US" w:eastAsia="en-US" w:bidi="ar-SA"/>
      </w:rPr>
    </w:lvl>
    <w:lvl w:ilvl="7" w:tplc="B8201206">
      <w:numFmt w:val="bullet"/>
      <w:lvlText w:val="•"/>
      <w:lvlJc w:val="left"/>
      <w:pPr>
        <w:ind w:left="7501" w:hanging="520"/>
      </w:pPr>
      <w:rPr>
        <w:rFonts w:hint="default"/>
        <w:lang w:val="en-US" w:eastAsia="en-US" w:bidi="ar-SA"/>
      </w:rPr>
    </w:lvl>
    <w:lvl w:ilvl="8" w:tplc="D5C20B34">
      <w:numFmt w:val="bullet"/>
      <w:lvlText w:val="•"/>
      <w:lvlJc w:val="left"/>
      <w:pPr>
        <w:ind w:left="8476" w:hanging="520"/>
      </w:pPr>
      <w:rPr>
        <w:rFonts w:hint="default"/>
        <w:lang w:val="en-US" w:eastAsia="en-US" w:bidi="ar-SA"/>
      </w:rPr>
    </w:lvl>
  </w:abstractNum>
  <w:abstractNum w:abstractNumId="3" w15:restartNumberingAfterBreak="0">
    <w:nsid w:val="601E185B"/>
    <w:multiLevelType w:val="hybridMultilevel"/>
    <w:tmpl w:val="32CAB8E0"/>
    <w:lvl w:ilvl="0" w:tplc="40090001">
      <w:start w:val="1"/>
      <w:numFmt w:val="bullet"/>
      <w:lvlText w:val=""/>
      <w:lvlJc w:val="left"/>
      <w:pPr>
        <w:ind w:left="1406" w:hanging="360"/>
      </w:pPr>
      <w:rPr>
        <w:rFonts w:ascii="Symbol" w:hAnsi="Symbol" w:hint="default"/>
      </w:rPr>
    </w:lvl>
    <w:lvl w:ilvl="1" w:tplc="40090003" w:tentative="1">
      <w:start w:val="1"/>
      <w:numFmt w:val="bullet"/>
      <w:lvlText w:val="o"/>
      <w:lvlJc w:val="left"/>
      <w:pPr>
        <w:ind w:left="2126" w:hanging="360"/>
      </w:pPr>
      <w:rPr>
        <w:rFonts w:ascii="Courier New" w:hAnsi="Courier New" w:cs="Courier New" w:hint="default"/>
      </w:rPr>
    </w:lvl>
    <w:lvl w:ilvl="2" w:tplc="40090005" w:tentative="1">
      <w:start w:val="1"/>
      <w:numFmt w:val="bullet"/>
      <w:lvlText w:val=""/>
      <w:lvlJc w:val="left"/>
      <w:pPr>
        <w:ind w:left="2846" w:hanging="360"/>
      </w:pPr>
      <w:rPr>
        <w:rFonts w:ascii="Wingdings" w:hAnsi="Wingdings" w:hint="default"/>
      </w:rPr>
    </w:lvl>
    <w:lvl w:ilvl="3" w:tplc="40090001" w:tentative="1">
      <w:start w:val="1"/>
      <w:numFmt w:val="bullet"/>
      <w:lvlText w:val=""/>
      <w:lvlJc w:val="left"/>
      <w:pPr>
        <w:ind w:left="3566" w:hanging="360"/>
      </w:pPr>
      <w:rPr>
        <w:rFonts w:ascii="Symbol" w:hAnsi="Symbol" w:hint="default"/>
      </w:rPr>
    </w:lvl>
    <w:lvl w:ilvl="4" w:tplc="40090003" w:tentative="1">
      <w:start w:val="1"/>
      <w:numFmt w:val="bullet"/>
      <w:lvlText w:val="o"/>
      <w:lvlJc w:val="left"/>
      <w:pPr>
        <w:ind w:left="4286" w:hanging="360"/>
      </w:pPr>
      <w:rPr>
        <w:rFonts w:ascii="Courier New" w:hAnsi="Courier New" w:cs="Courier New" w:hint="default"/>
      </w:rPr>
    </w:lvl>
    <w:lvl w:ilvl="5" w:tplc="40090005" w:tentative="1">
      <w:start w:val="1"/>
      <w:numFmt w:val="bullet"/>
      <w:lvlText w:val=""/>
      <w:lvlJc w:val="left"/>
      <w:pPr>
        <w:ind w:left="5006" w:hanging="360"/>
      </w:pPr>
      <w:rPr>
        <w:rFonts w:ascii="Wingdings" w:hAnsi="Wingdings" w:hint="default"/>
      </w:rPr>
    </w:lvl>
    <w:lvl w:ilvl="6" w:tplc="40090001" w:tentative="1">
      <w:start w:val="1"/>
      <w:numFmt w:val="bullet"/>
      <w:lvlText w:val=""/>
      <w:lvlJc w:val="left"/>
      <w:pPr>
        <w:ind w:left="5726" w:hanging="360"/>
      </w:pPr>
      <w:rPr>
        <w:rFonts w:ascii="Symbol" w:hAnsi="Symbol" w:hint="default"/>
      </w:rPr>
    </w:lvl>
    <w:lvl w:ilvl="7" w:tplc="40090003" w:tentative="1">
      <w:start w:val="1"/>
      <w:numFmt w:val="bullet"/>
      <w:lvlText w:val="o"/>
      <w:lvlJc w:val="left"/>
      <w:pPr>
        <w:ind w:left="6446" w:hanging="360"/>
      </w:pPr>
      <w:rPr>
        <w:rFonts w:ascii="Courier New" w:hAnsi="Courier New" w:cs="Courier New" w:hint="default"/>
      </w:rPr>
    </w:lvl>
    <w:lvl w:ilvl="8" w:tplc="40090005" w:tentative="1">
      <w:start w:val="1"/>
      <w:numFmt w:val="bullet"/>
      <w:lvlText w:val=""/>
      <w:lvlJc w:val="left"/>
      <w:pPr>
        <w:ind w:left="7166" w:hanging="360"/>
      </w:pPr>
      <w:rPr>
        <w:rFonts w:ascii="Wingdings" w:hAnsi="Wingdings" w:hint="default"/>
      </w:rPr>
    </w:lvl>
  </w:abstractNum>
  <w:abstractNum w:abstractNumId="4" w15:restartNumberingAfterBreak="0">
    <w:nsid w:val="64E44B27"/>
    <w:multiLevelType w:val="hybridMultilevel"/>
    <w:tmpl w:val="1E2CEAF0"/>
    <w:lvl w:ilvl="0" w:tplc="7C3C7CCA">
      <w:start w:val="1"/>
      <w:numFmt w:val="bullet"/>
      <w:lvlText w:val=""/>
      <w:lvlJc w:val="left"/>
      <w:pPr>
        <w:ind w:left="720" w:hanging="360"/>
      </w:pPr>
      <w:rPr>
        <w:rFonts w:ascii="Symbol" w:hAnsi="Symbol" w:hint="default"/>
        <w:color w:val="auto"/>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66407349"/>
    <w:multiLevelType w:val="hybridMultilevel"/>
    <w:tmpl w:val="31A02E12"/>
    <w:lvl w:ilvl="0" w:tplc="D1C61ECE">
      <w:start w:val="1"/>
      <w:numFmt w:val="decimal"/>
      <w:lvlText w:val="%1."/>
      <w:lvlJc w:val="left"/>
      <w:pPr>
        <w:ind w:left="110" w:hanging="432"/>
      </w:pPr>
      <w:rPr>
        <w:rFonts w:ascii="Courier New" w:eastAsia="Courier New" w:hAnsi="Courier New" w:cs="Courier New" w:hint="default"/>
        <w:b w:val="0"/>
        <w:bCs w:val="0"/>
        <w:i w:val="0"/>
        <w:iCs w:val="0"/>
        <w:spacing w:val="0"/>
        <w:w w:val="99"/>
        <w:sz w:val="24"/>
        <w:szCs w:val="24"/>
        <w:lang w:val="en-US" w:eastAsia="en-US" w:bidi="ar-SA"/>
      </w:rPr>
    </w:lvl>
    <w:lvl w:ilvl="1" w:tplc="1242B36C">
      <w:numFmt w:val="bullet"/>
      <w:lvlText w:val="•"/>
      <w:lvlJc w:val="left"/>
      <w:pPr>
        <w:ind w:left="1150" w:hanging="432"/>
      </w:pPr>
      <w:rPr>
        <w:rFonts w:hint="default"/>
        <w:lang w:val="en-US" w:eastAsia="en-US" w:bidi="ar-SA"/>
      </w:rPr>
    </w:lvl>
    <w:lvl w:ilvl="2" w:tplc="BCA0C53E">
      <w:numFmt w:val="bullet"/>
      <w:lvlText w:val="•"/>
      <w:lvlJc w:val="left"/>
      <w:pPr>
        <w:ind w:left="2181" w:hanging="432"/>
      </w:pPr>
      <w:rPr>
        <w:rFonts w:hint="default"/>
        <w:lang w:val="en-US" w:eastAsia="en-US" w:bidi="ar-SA"/>
      </w:rPr>
    </w:lvl>
    <w:lvl w:ilvl="3" w:tplc="87E0FCB4">
      <w:numFmt w:val="bullet"/>
      <w:lvlText w:val="•"/>
      <w:lvlJc w:val="left"/>
      <w:pPr>
        <w:ind w:left="3211" w:hanging="432"/>
      </w:pPr>
      <w:rPr>
        <w:rFonts w:hint="default"/>
        <w:lang w:val="en-US" w:eastAsia="en-US" w:bidi="ar-SA"/>
      </w:rPr>
    </w:lvl>
    <w:lvl w:ilvl="4" w:tplc="24CE61A2">
      <w:numFmt w:val="bullet"/>
      <w:lvlText w:val="•"/>
      <w:lvlJc w:val="left"/>
      <w:pPr>
        <w:ind w:left="4242" w:hanging="432"/>
      </w:pPr>
      <w:rPr>
        <w:rFonts w:hint="default"/>
        <w:lang w:val="en-US" w:eastAsia="en-US" w:bidi="ar-SA"/>
      </w:rPr>
    </w:lvl>
    <w:lvl w:ilvl="5" w:tplc="0A36039E">
      <w:numFmt w:val="bullet"/>
      <w:lvlText w:val="•"/>
      <w:lvlJc w:val="left"/>
      <w:pPr>
        <w:ind w:left="5272" w:hanging="432"/>
      </w:pPr>
      <w:rPr>
        <w:rFonts w:hint="default"/>
        <w:lang w:val="en-US" w:eastAsia="en-US" w:bidi="ar-SA"/>
      </w:rPr>
    </w:lvl>
    <w:lvl w:ilvl="6" w:tplc="2B9EDA8C">
      <w:numFmt w:val="bullet"/>
      <w:lvlText w:val="•"/>
      <w:lvlJc w:val="left"/>
      <w:pPr>
        <w:ind w:left="6303" w:hanging="432"/>
      </w:pPr>
      <w:rPr>
        <w:rFonts w:hint="default"/>
        <w:lang w:val="en-US" w:eastAsia="en-US" w:bidi="ar-SA"/>
      </w:rPr>
    </w:lvl>
    <w:lvl w:ilvl="7" w:tplc="E36C4392">
      <w:numFmt w:val="bullet"/>
      <w:lvlText w:val="•"/>
      <w:lvlJc w:val="left"/>
      <w:pPr>
        <w:ind w:left="7333" w:hanging="432"/>
      </w:pPr>
      <w:rPr>
        <w:rFonts w:hint="default"/>
        <w:lang w:val="en-US" w:eastAsia="en-US" w:bidi="ar-SA"/>
      </w:rPr>
    </w:lvl>
    <w:lvl w:ilvl="8" w:tplc="947CC4BA">
      <w:numFmt w:val="bullet"/>
      <w:lvlText w:val="•"/>
      <w:lvlJc w:val="left"/>
      <w:pPr>
        <w:ind w:left="8364" w:hanging="432"/>
      </w:pPr>
      <w:rPr>
        <w:rFonts w:hint="default"/>
        <w:lang w:val="en-US" w:eastAsia="en-US" w:bidi="ar-SA"/>
      </w:rPr>
    </w:lvl>
  </w:abstractNum>
  <w:num w:numId="1" w16cid:durableId="1108624562">
    <w:abstractNumId w:val="2"/>
  </w:num>
  <w:num w:numId="2" w16cid:durableId="1669820007">
    <w:abstractNumId w:val="5"/>
  </w:num>
  <w:num w:numId="3" w16cid:durableId="1423140012">
    <w:abstractNumId w:val="3"/>
  </w:num>
  <w:num w:numId="4" w16cid:durableId="2038845973">
    <w:abstractNumId w:val="0"/>
  </w:num>
  <w:num w:numId="5" w16cid:durableId="590088361">
    <w:abstractNumId w:val="4"/>
  </w:num>
  <w:num w:numId="6" w16cid:durableId="17875763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AE5"/>
    <w:rsid w:val="00070B74"/>
    <w:rsid w:val="000F5B8A"/>
    <w:rsid w:val="001031DF"/>
    <w:rsid w:val="0011790F"/>
    <w:rsid w:val="00146DC3"/>
    <w:rsid w:val="002A7AF7"/>
    <w:rsid w:val="002C5751"/>
    <w:rsid w:val="0033712A"/>
    <w:rsid w:val="003A1F9B"/>
    <w:rsid w:val="003F2B5A"/>
    <w:rsid w:val="0042503D"/>
    <w:rsid w:val="004C6042"/>
    <w:rsid w:val="0050288E"/>
    <w:rsid w:val="00520014"/>
    <w:rsid w:val="00525816"/>
    <w:rsid w:val="005A7B27"/>
    <w:rsid w:val="0060193F"/>
    <w:rsid w:val="00602DF9"/>
    <w:rsid w:val="0061054E"/>
    <w:rsid w:val="00610B0C"/>
    <w:rsid w:val="006B5263"/>
    <w:rsid w:val="006C618F"/>
    <w:rsid w:val="006D409E"/>
    <w:rsid w:val="00724AE5"/>
    <w:rsid w:val="00756B5C"/>
    <w:rsid w:val="0077726F"/>
    <w:rsid w:val="0087467C"/>
    <w:rsid w:val="008920F9"/>
    <w:rsid w:val="00992DEE"/>
    <w:rsid w:val="009B026E"/>
    <w:rsid w:val="009F06B0"/>
    <w:rsid w:val="009F46F2"/>
    <w:rsid w:val="00AD4E2D"/>
    <w:rsid w:val="00B10BAC"/>
    <w:rsid w:val="00B17446"/>
    <w:rsid w:val="00B505F3"/>
    <w:rsid w:val="00BE580B"/>
    <w:rsid w:val="00C136E3"/>
    <w:rsid w:val="00C14354"/>
    <w:rsid w:val="00C43183"/>
    <w:rsid w:val="00C87F4C"/>
    <w:rsid w:val="00CF5143"/>
    <w:rsid w:val="00E63D56"/>
    <w:rsid w:val="00EA48D0"/>
    <w:rsid w:val="00EE7E4A"/>
    <w:rsid w:val="00F102B3"/>
    <w:rsid w:val="00F6462C"/>
    <w:rsid w:val="00FB073E"/>
  </w:rsids>
  <m:mathPr>
    <m:mathFont m:val="Cambria Math"/>
    <m:brkBin m:val="before"/>
    <m:brkBinSub m:val="--"/>
    <m:smallFrac m:val="0"/>
    <m:dispDef/>
    <m:lMargin m:val="0"/>
    <m:rMargin m:val="0"/>
    <m:defJc m:val="centerGroup"/>
    <m:wrapIndent m:val="1440"/>
    <m:intLim m:val="subSup"/>
    <m:naryLim m:val="undOvr"/>
  </m:mathPr>
  <w:themeFontLang w:val="en-IN"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50A022"/>
  <w15:docId w15:val="{6DCF1D4E-2482-4649-8351-DC93CF4AB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paragraph" w:styleId="Heading1">
    <w:name w:val="heading 1"/>
    <w:basedOn w:val="Normal"/>
    <w:uiPriority w:val="9"/>
    <w:qFormat/>
    <w:pPr>
      <w:ind w:left="11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0"/>
    </w:pPr>
    <w:rPr>
      <w:sz w:val="24"/>
      <w:szCs w:val="24"/>
    </w:rPr>
  </w:style>
  <w:style w:type="paragraph" w:styleId="Title">
    <w:name w:val="Title"/>
    <w:basedOn w:val="Normal"/>
    <w:uiPriority w:val="10"/>
    <w:qFormat/>
    <w:pPr>
      <w:ind w:left="110" w:right="233"/>
    </w:pPr>
    <w:rPr>
      <w:b/>
      <w:bCs/>
      <w:sz w:val="32"/>
      <w:szCs w:val="32"/>
    </w:rPr>
  </w:style>
  <w:style w:type="paragraph" w:styleId="ListParagraph">
    <w:name w:val="List Paragraph"/>
    <w:basedOn w:val="Normal"/>
    <w:uiPriority w:val="1"/>
    <w:qFormat/>
    <w:pPr>
      <w:ind w:left="110" w:right="377" w:hanging="520"/>
    </w:pPr>
  </w:style>
  <w:style w:type="paragraph" w:customStyle="1" w:styleId="TableParagraph">
    <w:name w:val="Table Paragraph"/>
    <w:basedOn w:val="Normal"/>
    <w:uiPriority w:val="1"/>
    <w:qFormat/>
    <w:pPr>
      <w:spacing w:before="23"/>
      <w:ind w:left="15"/>
    </w:pPr>
  </w:style>
  <w:style w:type="paragraph" w:styleId="Header">
    <w:name w:val="header"/>
    <w:basedOn w:val="Normal"/>
    <w:link w:val="HeaderChar"/>
    <w:uiPriority w:val="99"/>
    <w:unhideWhenUsed/>
    <w:rsid w:val="0050288E"/>
    <w:pPr>
      <w:tabs>
        <w:tab w:val="center" w:pos="4513"/>
        <w:tab w:val="right" w:pos="9026"/>
      </w:tabs>
    </w:pPr>
  </w:style>
  <w:style w:type="character" w:customStyle="1" w:styleId="HeaderChar">
    <w:name w:val="Header Char"/>
    <w:basedOn w:val="DefaultParagraphFont"/>
    <w:link w:val="Header"/>
    <w:uiPriority w:val="99"/>
    <w:rsid w:val="0050288E"/>
    <w:rPr>
      <w:rFonts w:ascii="Courier New" w:eastAsia="Courier New" w:hAnsi="Courier New" w:cs="Courier New"/>
    </w:rPr>
  </w:style>
  <w:style w:type="paragraph" w:styleId="Footer">
    <w:name w:val="footer"/>
    <w:basedOn w:val="Normal"/>
    <w:link w:val="FooterChar"/>
    <w:uiPriority w:val="99"/>
    <w:unhideWhenUsed/>
    <w:rsid w:val="0050288E"/>
    <w:pPr>
      <w:tabs>
        <w:tab w:val="center" w:pos="4513"/>
        <w:tab w:val="right" w:pos="9026"/>
      </w:tabs>
    </w:pPr>
  </w:style>
  <w:style w:type="character" w:customStyle="1" w:styleId="FooterChar">
    <w:name w:val="Footer Char"/>
    <w:basedOn w:val="DefaultParagraphFont"/>
    <w:link w:val="Footer"/>
    <w:uiPriority w:val="99"/>
    <w:rsid w:val="0050288E"/>
    <w:rPr>
      <w:rFonts w:ascii="Courier New" w:eastAsia="Courier New" w:hAnsi="Courier New" w:cs="Courier New"/>
    </w:rPr>
  </w:style>
  <w:style w:type="character" w:styleId="Hyperlink">
    <w:name w:val="Hyperlink"/>
    <w:basedOn w:val="DefaultParagraphFont"/>
    <w:uiPriority w:val="99"/>
    <w:unhideWhenUsed/>
    <w:rsid w:val="00F6462C"/>
    <w:rPr>
      <w:color w:val="0000FF" w:themeColor="hyperlink"/>
      <w:u w:val="single"/>
    </w:rPr>
  </w:style>
  <w:style w:type="character" w:styleId="UnresolvedMention">
    <w:name w:val="Unresolved Mention"/>
    <w:basedOn w:val="DefaultParagraphFont"/>
    <w:uiPriority w:val="99"/>
    <w:semiHidden/>
    <w:unhideWhenUsed/>
    <w:rsid w:val="00F64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Graham.White@health.sa.gov.a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health.gov.au/"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160;:http://www.phoca.cz/phocapdf"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B9BEA-63AB-46EF-B73B-28EB34D3F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10</Pages>
  <Words>4959</Words>
  <Characters>26781</Characters>
  <Application>Microsoft Office Word</Application>
  <DocSecurity>0</DocSecurity>
  <Lines>557</Lines>
  <Paragraphs>160</Paragraphs>
  <ScaleCrop>false</ScaleCrop>
  <HeadingPairs>
    <vt:vector size="2" baseType="variant">
      <vt:variant>
        <vt:lpstr>Title</vt:lpstr>
      </vt:variant>
      <vt:variant>
        <vt:i4>1</vt:i4>
      </vt:variant>
    </vt:vector>
  </HeadingPairs>
  <TitlesOfParts>
    <vt:vector size="1" baseType="lpstr">
      <vt:lpstr>Hitchhiker's Guide to Measurement Uncertainty (MU) in Clinical Laboratories - Westgard QC</vt:lpstr>
    </vt:vector>
  </TitlesOfParts>
  <Company/>
  <LinksUpToDate>false</LinksUpToDate>
  <CharactersWithSpaces>31580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Hitchhiker's Guide to Measurement Uncertainty (MU) in Clinical Laboratories - Westgard QC</dc:title>
  <dc:creator>Admin</dc:creator>
  <cp:lastModifiedBy>mx02 Apps 1</cp:lastModifiedBy>
  <cp:revision>39</cp:revision>
  <cp:lastPrinted>2024-12-05T22:56:00Z</cp:lastPrinted>
  <dcterms:created xsi:type="dcterms:W3CDTF">2024-12-05T20:06:00Z</dcterms:created>
  <dcterms:modified xsi:type="dcterms:W3CDTF">2025-05-04T04:12:00Z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2014-10-11T00:00:00Z</vt:filetime>
  </property>
  <property fmtid="{D5CDD505-2E9C-101B-9397-08002B2CF9AE}" pid="3" name="Creator">
    <vt:lpwstr>Phoca PDF</vt:lpwstr>
  </property>
  <property fmtid="{D5CDD505-2E9C-101B-9397-08002B2CF9AE}" pid="4" name="LastSaved">
    <vt:filetime>2024-12-05T00:00:00Z</vt:filetime>
  </property>
  <property fmtid="{D5CDD505-2E9C-101B-9397-08002B2CF9AE}" pid="5" name="Producer">
    <vt:lpwstr>TCPDF 5.9.009 (http://www.tcpdf.org) (TCPDF)</vt:lpwstr>
  </property>
</Properties>
</file>