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F150" w14:textId="77777777" w:rsidR="003E503E" w:rsidRDefault="003E50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5"/>
        <w:gridCol w:w="2015"/>
        <w:gridCol w:w="2727"/>
        <w:gridCol w:w="2316"/>
      </w:tblGrid>
      <w:tr w:rsidR="003E503E" w14:paraId="4936784F" w14:textId="77777777" w:rsidTr="00BE64AA">
        <w:tc>
          <w:tcPr>
            <w:tcW w:w="2268" w:type="dxa"/>
            <w:vAlign w:val="center"/>
          </w:tcPr>
          <w:p w14:paraId="21E0446F" w14:textId="77777777" w:rsidR="003E503E" w:rsidRPr="00110087" w:rsidRDefault="003E503E" w:rsidP="00BE64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Catégorie</w:t>
            </w:r>
          </w:p>
        </w:tc>
        <w:tc>
          <w:tcPr>
            <w:tcW w:w="2070" w:type="dxa"/>
            <w:vAlign w:val="center"/>
          </w:tcPr>
          <w:p w14:paraId="33AE1CE8" w14:textId="77777777" w:rsidR="003E503E" w:rsidRPr="00110087" w:rsidRDefault="003E503E" w:rsidP="00BE64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Rapport API</w:t>
            </w:r>
          </w:p>
        </w:tc>
        <w:tc>
          <w:tcPr>
            <w:tcW w:w="2844" w:type="dxa"/>
            <w:vAlign w:val="center"/>
          </w:tcPr>
          <w:p w14:paraId="3997CE2B" w14:textId="77777777" w:rsidR="003E503E" w:rsidRPr="00110087" w:rsidRDefault="003E503E" w:rsidP="00BE64A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Rapport CAP</w:t>
            </w:r>
          </w:p>
        </w:tc>
        <w:tc>
          <w:tcPr>
            <w:tcW w:w="2394" w:type="dxa"/>
          </w:tcPr>
          <w:p w14:paraId="0FCD11F4" w14:textId="77777777" w:rsidR="003E503E" w:rsidRPr="00110087" w:rsidRDefault="003E503E" w:rsidP="001100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Rapport ZINQAP</w:t>
            </w:r>
          </w:p>
        </w:tc>
      </w:tr>
      <w:tr w:rsidR="003E503E" w:rsidRPr="00BE64AA" w14:paraId="4691CCCC" w14:textId="77777777" w:rsidTr="002F79D6">
        <w:tc>
          <w:tcPr>
            <w:tcW w:w="2268" w:type="dxa"/>
          </w:tcPr>
          <w:p w14:paraId="49B25128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Analyte testé</w:t>
            </w:r>
          </w:p>
        </w:tc>
        <w:tc>
          <w:tcPr>
            <w:tcW w:w="2070" w:type="dxa"/>
          </w:tcPr>
          <w:p w14:paraId="58E038EE" w14:textId="77777777" w:rsidR="003E503E" w:rsidRPr="00BE64AA" w:rsidRDefault="003E503E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 xml:space="preserve">Analytes FSC (formule sanguine complète) </w:t>
            </w:r>
          </w:p>
        </w:tc>
        <w:tc>
          <w:tcPr>
            <w:tcW w:w="2844" w:type="dxa"/>
          </w:tcPr>
          <w:p w14:paraId="2CF4F4A7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Analytes de coagulation</w:t>
            </w:r>
          </w:p>
        </w:tc>
        <w:tc>
          <w:tcPr>
            <w:tcW w:w="2394" w:type="dxa"/>
          </w:tcPr>
          <w:p w14:paraId="4C5A7D9D" w14:textId="77777777" w:rsidR="003E503E" w:rsidRPr="00BE64AA" w:rsidRDefault="003E503E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Analytes FSC (formule sanguine complète)</w:t>
            </w:r>
          </w:p>
        </w:tc>
      </w:tr>
      <w:tr w:rsidR="003E503E" w14:paraId="60688ABB" w14:textId="77777777" w:rsidTr="002F79D6">
        <w:tc>
          <w:tcPr>
            <w:tcW w:w="2268" w:type="dxa"/>
          </w:tcPr>
          <w:p w14:paraId="626A8300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Unités de mesure</w:t>
            </w:r>
          </w:p>
        </w:tc>
        <w:tc>
          <w:tcPr>
            <w:tcW w:w="2070" w:type="dxa"/>
          </w:tcPr>
          <w:p w14:paraId="2B308F7C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Divers (%, g/dl)</w:t>
            </w:r>
          </w:p>
        </w:tc>
        <w:tc>
          <w:tcPr>
            <w:tcW w:w="2844" w:type="dxa"/>
          </w:tcPr>
          <w:p w14:paraId="00FD64E3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val="fr"/>
              </w:rPr>
              <w:t>secondes</w:t>
            </w:r>
            <w:proofErr w:type="gramEnd"/>
          </w:p>
        </w:tc>
        <w:tc>
          <w:tcPr>
            <w:tcW w:w="2394" w:type="dxa"/>
          </w:tcPr>
          <w:p w14:paraId="14140DF7" w14:textId="77777777" w:rsidR="003E503E" w:rsidRPr="000E2C3C" w:rsidRDefault="003E503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Divers (%, g/dl)</w:t>
            </w:r>
          </w:p>
        </w:tc>
      </w:tr>
      <w:tr w:rsidR="003E503E" w:rsidRPr="00BE64AA" w14:paraId="5EAC41FD" w14:textId="77777777" w:rsidTr="002F79D6">
        <w:tc>
          <w:tcPr>
            <w:tcW w:w="2268" w:type="dxa"/>
          </w:tcPr>
          <w:p w14:paraId="259F10A6" w14:textId="77777777" w:rsidR="003E503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Échantillons d’enquête</w:t>
            </w:r>
          </w:p>
        </w:tc>
        <w:tc>
          <w:tcPr>
            <w:tcW w:w="2070" w:type="dxa"/>
          </w:tcPr>
          <w:p w14:paraId="624E70E4" w14:textId="77777777" w:rsidR="003E503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Échantillon :  XE-06 à XE-10</w:t>
            </w:r>
          </w:p>
        </w:tc>
        <w:tc>
          <w:tcPr>
            <w:tcW w:w="2844" w:type="dxa"/>
          </w:tcPr>
          <w:p w14:paraId="764DCAB1" w14:textId="77777777" w:rsidR="003E503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Échantillon : CGL-11 à CGL-15</w:t>
            </w:r>
          </w:p>
        </w:tc>
        <w:tc>
          <w:tcPr>
            <w:tcW w:w="2394" w:type="dxa"/>
          </w:tcPr>
          <w:p w14:paraId="2165EFC6" w14:textId="77777777" w:rsidR="003E503E" w:rsidRPr="00BE64AA" w:rsidRDefault="00FD034E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Étiquette de l’échantillon : FSC 1 et FSC 2</w:t>
            </w:r>
          </w:p>
        </w:tc>
      </w:tr>
      <w:tr w:rsidR="00FD034E" w14:paraId="75915BD3" w14:textId="77777777" w:rsidTr="002F79D6">
        <w:tc>
          <w:tcPr>
            <w:tcW w:w="2268" w:type="dxa"/>
          </w:tcPr>
          <w:p w14:paraId="116C768E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Résultat rapporté</w:t>
            </w:r>
          </w:p>
        </w:tc>
        <w:tc>
          <w:tcPr>
            <w:tcW w:w="2070" w:type="dxa"/>
          </w:tcPr>
          <w:p w14:paraId="090CF1CB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Résultat rapporté</w:t>
            </w:r>
          </w:p>
        </w:tc>
        <w:tc>
          <w:tcPr>
            <w:tcW w:w="2844" w:type="dxa"/>
          </w:tcPr>
          <w:p w14:paraId="50A4A1CE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Votre résultat</w:t>
            </w:r>
          </w:p>
        </w:tc>
        <w:tc>
          <w:tcPr>
            <w:tcW w:w="2394" w:type="dxa"/>
          </w:tcPr>
          <w:p w14:paraId="56E04A5B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Votre réponse</w:t>
            </w:r>
          </w:p>
        </w:tc>
      </w:tr>
      <w:tr w:rsidR="00FD034E" w14:paraId="47E150F9" w14:textId="77777777" w:rsidTr="002F79D6">
        <w:tc>
          <w:tcPr>
            <w:tcW w:w="2268" w:type="dxa"/>
          </w:tcPr>
          <w:p w14:paraId="647C9487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</w:t>
            </w:r>
          </w:p>
        </w:tc>
        <w:tc>
          <w:tcPr>
            <w:tcW w:w="2070" w:type="dxa"/>
          </w:tcPr>
          <w:p w14:paraId="1A5AE805" w14:textId="77777777" w:rsidR="00FD034E" w:rsidRPr="00BE64AA" w:rsidRDefault="00FD034E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proofErr w:type="gramStart"/>
            <w:r>
              <w:rPr>
                <w:sz w:val="28"/>
                <w:szCs w:val="28"/>
                <w:lang w:val="fr"/>
              </w:rPr>
              <w:t>non</w:t>
            </w:r>
            <w:proofErr w:type="gramEnd"/>
            <w:r>
              <w:rPr>
                <w:sz w:val="28"/>
                <w:szCs w:val="28"/>
                <w:lang w:val="fr"/>
              </w:rPr>
              <w:t xml:space="preserve"> disponible avec cette page du rapport de PT</w:t>
            </w:r>
          </w:p>
        </w:tc>
        <w:tc>
          <w:tcPr>
            <w:tcW w:w="2844" w:type="dxa"/>
          </w:tcPr>
          <w:p w14:paraId="2C83CDA7" w14:textId="77777777" w:rsidR="00FD034E" w:rsidRPr="000E2C3C" w:rsidRDefault="00FD034E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Nombre de laboratoires</w:t>
            </w:r>
          </w:p>
        </w:tc>
        <w:tc>
          <w:tcPr>
            <w:tcW w:w="2394" w:type="dxa"/>
          </w:tcPr>
          <w:p w14:paraId="57753E3B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Taille de l’échantillon (n)</w:t>
            </w:r>
          </w:p>
        </w:tc>
      </w:tr>
      <w:tr w:rsidR="00FD034E" w:rsidRPr="00BE64AA" w14:paraId="260B2DDF" w14:textId="77777777" w:rsidTr="002F79D6">
        <w:tc>
          <w:tcPr>
            <w:tcW w:w="2268" w:type="dxa"/>
          </w:tcPr>
          <w:p w14:paraId="29EC3DBF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</w:t>
            </w:r>
          </w:p>
        </w:tc>
        <w:tc>
          <w:tcPr>
            <w:tcW w:w="2070" w:type="dxa"/>
          </w:tcPr>
          <w:p w14:paraId="67098155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</w:t>
            </w:r>
          </w:p>
        </w:tc>
        <w:tc>
          <w:tcPr>
            <w:tcW w:w="2844" w:type="dxa"/>
          </w:tcPr>
          <w:p w14:paraId="72B37583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</w:t>
            </w:r>
          </w:p>
        </w:tc>
        <w:tc>
          <w:tcPr>
            <w:tcW w:w="2394" w:type="dxa"/>
          </w:tcPr>
          <w:p w14:paraId="69B02869" w14:textId="77777777" w:rsidR="00FD034E" w:rsidRPr="00BE64AA" w:rsidRDefault="00AE408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Valeur reposant sur le consensus</w:t>
            </w:r>
          </w:p>
        </w:tc>
      </w:tr>
      <w:tr w:rsidR="00FD034E" w:rsidRPr="00BE64AA" w14:paraId="11A32F78" w14:textId="77777777" w:rsidTr="002F79D6">
        <w:tc>
          <w:tcPr>
            <w:tcW w:w="2268" w:type="dxa"/>
          </w:tcPr>
          <w:p w14:paraId="15EB82CE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Plage attendue</w:t>
            </w:r>
          </w:p>
        </w:tc>
        <w:tc>
          <w:tcPr>
            <w:tcW w:w="2070" w:type="dxa"/>
          </w:tcPr>
          <w:p w14:paraId="0705D48F" w14:textId="77777777" w:rsidR="00FD034E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Plage attendue</w:t>
            </w:r>
          </w:p>
        </w:tc>
        <w:tc>
          <w:tcPr>
            <w:tcW w:w="2844" w:type="dxa"/>
          </w:tcPr>
          <w:p w14:paraId="05B81C83" w14:textId="77777777" w:rsidR="00FD034E" w:rsidRPr="00BE64AA" w:rsidRDefault="00AE408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Limites d’acceptabilité (inférieure et supérieure)</w:t>
            </w:r>
          </w:p>
        </w:tc>
        <w:tc>
          <w:tcPr>
            <w:tcW w:w="2394" w:type="dxa"/>
          </w:tcPr>
          <w:p w14:paraId="032A87AA" w14:textId="77777777" w:rsidR="00FD034E" w:rsidRPr="00BE64AA" w:rsidRDefault="00AE408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proofErr w:type="gramStart"/>
            <w:r>
              <w:rPr>
                <w:sz w:val="28"/>
                <w:szCs w:val="28"/>
                <w:lang w:val="fr"/>
              </w:rPr>
              <w:t>non</w:t>
            </w:r>
            <w:proofErr w:type="gramEnd"/>
            <w:r>
              <w:rPr>
                <w:sz w:val="28"/>
                <w:szCs w:val="28"/>
                <w:lang w:val="fr"/>
              </w:rPr>
              <w:t xml:space="preserve"> disponible avec ce rapport de PT</w:t>
            </w:r>
          </w:p>
        </w:tc>
      </w:tr>
      <w:tr w:rsidR="00AE4086" w14:paraId="6152AEBF" w14:textId="77777777" w:rsidTr="002F79D6">
        <w:tc>
          <w:tcPr>
            <w:tcW w:w="2268" w:type="dxa"/>
          </w:tcPr>
          <w:p w14:paraId="3C60D69A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Écart-type</w:t>
            </w:r>
          </w:p>
        </w:tc>
        <w:tc>
          <w:tcPr>
            <w:tcW w:w="2070" w:type="dxa"/>
          </w:tcPr>
          <w:p w14:paraId="6A15B1C7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Écart-type</w:t>
            </w:r>
          </w:p>
        </w:tc>
        <w:tc>
          <w:tcPr>
            <w:tcW w:w="2844" w:type="dxa"/>
          </w:tcPr>
          <w:p w14:paraId="5D520558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Écart-type</w:t>
            </w:r>
          </w:p>
        </w:tc>
        <w:tc>
          <w:tcPr>
            <w:tcW w:w="2394" w:type="dxa"/>
          </w:tcPr>
          <w:p w14:paraId="2EA3E9F2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Écart- type</w:t>
            </w:r>
          </w:p>
        </w:tc>
      </w:tr>
      <w:tr w:rsidR="00AE4086" w14:paraId="1B8635AA" w14:textId="77777777" w:rsidTr="002F79D6">
        <w:tc>
          <w:tcPr>
            <w:tcW w:w="2268" w:type="dxa"/>
          </w:tcPr>
          <w:p w14:paraId="3C06BA51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SDI</w:t>
            </w:r>
          </w:p>
        </w:tc>
        <w:tc>
          <w:tcPr>
            <w:tcW w:w="2070" w:type="dxa"/>
          </w:tcPr>
          <w:p w14:paraId="6926829A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SDI</w:t>
            </w:r>
          </w:p>
        </w:tc>
        <w:tc>
          <w:tcPr>
            <w:tcW w:w="2844" w:type="dxa"/>
          </w:tcPr>
          <w:p w14:paraId="056D2B3C" w14:textId="77777777" w:rsidR="00AE4086" w:rsidRPr="00BE64AA" w:rsidRDefault="00AE408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SDI (indice de déviation standard)</w:t>
            </w:r>
          </w:p>
        </w:tc>
        <w:tc>
          <w:tcPr>
            <w:tcW w:w="2394" w:type="dxa"/>
          </w:tcPr>
          <w:p w14:paraId="482055BE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Score Z</w:t>
            </w:r>
          </w:p>
        </w:tc>
      </w:tr>
      <w:tr w:rsidR="00AE4086" w:rsidRPr="00BE64AA" w14:paraId="0D7C8A5C" w14:textId="77777777" w:rsidTr="002F79D6">
        <w:tc>
          <w:tcPr>
            <w:tcW w:w="2268" w:type="dxa"/>
          </w:tcPr>
          <w:p w14:paraId="06C573DB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Note</w:t>
            </w:r>
          </w:p>
        </w:tc>
        <w:tc>
          <w:tcPr>
            <w:tcW w:w="2070" w:type="dxa"/>
          </w:tcPr>
          <w:p w14:paraId="5FFA5BC5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Note</w:t>
            </w:r>
          </w:p>
        </w:tc>
        <w:tc>
          <w:tcPr>
            <w:tcW w:w="2844" w:type="dxa"/>
          </w:tcPr>
          <w:p w14:paraId="229F6BC9" w14:textId="77777777" w:rsidR="00AE4086" w:rsidRPr="000E2C3C" w:rsidRDefault="00AE408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Votre note</w:t>
            </w:r>
          </w:p>
        </w:tc>
        <w:tc>
          <w:tcPr>
            <w:tcW w:w="2394" w:type="dxa"/>
          </w:tcPr>
          <w:p w14:paraId="58F6C1FA" w14:textId="77777777" w:rsidR="00AE4086" w:rsidRPr="00BE64AA" w:rsidRDefault="00AE408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proofErr w:type="gramStart"/>
            <w:r>
              <w:rPr>
                <w:sz w:val="28"/>
                <w:szCs w:val="28"/>
                <w:lang w:val="fr"/>
              </w:rPr>
              <w:t>non</w:t>
            </w:r>
            <w:proofErr w:type="gramEnd"/>
            <w:r>
              <w:rPr>
                <w:sz w:val="28"/>
                <w:szCs w:val="28"/>
                <w:lang w:val="fr"/>
              </w:rPr>
              <w:t xml:space="preserve"> disponible avec ce rapport de PT</w:t>
            </w:r>
          </w:p>
        </w:tc>
      </w:tr>
      <w:tr w:rsidR="00AE4086" w:rsidRPr="00BE64AA" w14:paraId="7CF1AFA0" w14:textId="77777777" w:rsidTr="002F79D6">
        <w:tc>
          <w:tcPr>
            <w:tcW w:w="2268" w:type="dxa"/>
          </w:tcPr>
          <w:p w14:paraId="7DD4AC88" w14:textId="77777777" w:rsidR="00AE4086" w:rsidRPr="000E2C3C" w:rsidRDefault="002F79D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Groupe de pairs</w:t>
            </w:r>
          </w:p>
        </w:tc>
        <w:tc>
          <w:tcPr>
            <w:tcW w:w="2070" w:type="dxa"/>
          </w:tcPr>
          <w:p w14:paraId="62EBD7B0" w14:textId="77777777" w:rsidR="00AE4086" w:rsidRPr="000E2C3C" w:rsidRDefault="002F79D6" w:rsidP="00BE64AA">
            <w:pPr>
              <w:spacing w:line="228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fr"/>
              </w:rPr>
              <w:t>Sysmex</w:t>
            </w:r>
            <w:proofErr w:type="spellEnd"/>
            <w:r>
              <w:rPr>
                <w:sz w:val="28"/>
                <w:szCs w:val="28"/>
                <w:lang w:val="fr"/>
              </w:rPr>
              <w:t> XE-2100</w:t>
            </w:r>
          </w:p>
        </w:tc>
        <w:tc>
          <w:tcPr>
            <w:tcW w:w="2844" w:type="dxa"/>
          </w:tcPr>
          <w:p w14:paraId="0CBE6590" w14:textId="77777777" w:rsidR="00AE4086" w:rsidRPr="000E2C3C" w:rsidRDefault="002F79D6" w:rsidP="00BE64AA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Siemens BCS, BCS XP</w:t>
            </w:r>
          </w:p>
        </w:tc>
        <w:tc>
          <w:tcPr>
            <w:tcW w:w="2394" w:type="dxa"/>
          </w:tcPr>
          <w:p w14:paraId="7F4B0AFE" w14:textId="77777777" w:rsidR="00AE4086" w:rsidRPr="00BE64AA" w:rsidRDefault="002F79D6" w:rsidP="00BE64AA">
            <w:pPr>
              <w:spacing w:line="228" w:lineRule="auto"/>
              <w:rPr>
                <w:sz w:val="28"/>
                <w:szCs w:val="28"/>
                <w:lang w:val="fr-FR"/>
              </w:rPr>
            </w:pPr>
            <w:proofErr w:type="gramStart"/>
            <w:r>
              <w:rPr>
                <w:sz w:val="28"/>
                <w:szCs w:val="28"/>
                <w:lang w:val="fr"/>
              </w:rPr>
              <w:t>non</w:t>
            </w:r>
            <w:proofErr w:type="gramEnd"/>
            <w:r>
              <w:rPr>
                <w:sz w:val="28"/>
                <w:szCs w:val="28"/>
                <w:lang w:val="fr"/>
              </w:rPr>
              <w:t xml:space="preserve"> disponible avec ce rapport de PT</w:t>
            </w:r>
          </w:p>
        </w:tc>
      </w:tr>
    </w:tbl>
    <w:p w14:paraId="5EEB88FB" w14:textId="77777777" w:rsidR="00110087" w:rsidRPr="00BE64AA" w:rsidRDefault="00110087">
      <w:pPr>
        <w:rPr>
          <w:lang w:val="fr-FR"/>
        </w:rPr>
      </w:pPr>
    </w:p>
    <w:p w14:paraId="0CF2E8C4" w14:textId="77777777" w:rsidR="00110087" w:rsidRPr="00BE64AA" w:rsidRDefault="00110087">
      <w:p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API – Institut américain de compétence</w:t>
      </w:r>
    </w:p>
    <w:p w14:paraId="5DD86A0A" w14:textId="77777777" w:rsidR="00110087" w:rsidRPr="00BE64AA" w:rsidRDefault="00110087">
      <w:p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 xml:space="preserve">CAP – </w:t>
      </w:r>
      <w:proofErr w:type="spellStart"/>
      <w:r>
        <w:rPr>
          <w:sz w:val="24"/>
          <w:szCs w:val="24"/>
          <w:lang w:val="fr"/>
        </w:rPr>
        <w:t>College</w:t>
      </w:r>
      <w:proofErr w:type="spellEnd"/>
      <w:r>
        <w:rPr>
          <w:sz w:val="24"/>
          <w:szCs w:val="24"/>
          <w:lang w:val="fr"/>
        </w:rPr>
        <w:t xml:space="preserve"> of American </w:t>
      </w:r>
      <w:proofErr w:type="spellStart"/>
      <w:r>
        <w:rPr>
          <w:sz w:val="24"/>
          <w:szCs w:val="24"/>
          <w:lang w:val="fr"/>
        </w:rPr>
        <w:t>Pathologists</w:t>
      </w:r>
      <w:proofErr w:type="spellEnd"/>
      <w:r>
        <w:rPr>
          <w:sz w:val="24"/>
          <w:szCs w:val="24"/>
          <w:lang w:val="fr"/>
        </w:rPr>
        <w:t xml:space="preserve"> (Collège des pathologistes américains)</w:t>
      </w:r>
    </w:p>
    <w:p w14:paraId="5268DC5F" w14:textId="77777777" w:rsidR="00110087" w:rsidRPr="00BE64AA" w:rsidRDefault="00110087">
      <w:p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ZINQAP – Programme national d’assurance qualité du Zimbabwe</w:t>
      </w:r>
    </w:p>
    <w:sectPr w:rsidR="00110087" w:rsidRPr="00BE64AA" w:rsidSect="00B34211">
      <w:headerReference w:type="default" r:id="rId6"/>
      <w:foot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FAB8D" w14:textId="77777777" w:rsidR="003D2187" w:rsidRDefault="003D2187" w:rsidP="003F21EF">
      <w:pPr>
        <w:spacing w:after="0" w:line="240" w:lineRule="auto"/>
      </w:pPr>
      <w:r>
        <w:separator/>
      </w:r>
    </w:p>
  </w:endnote>
  <w:endnote w:type="continuationSeparator" w:id="0">
    <w:p w14:paraId="3E157DFA" w14:textId="77777777" w:rsidR="003D2187" w:rsidRDefault="003D2187" w:rsidP="003F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22F0E" w14:textId="77777777" w:rsidR="003F21EF" w:rsidRPr="00BE64AA" w:rsidRDefault="003F21EF" w:rsidP="003F21EF">
    <w:pPr>
      <w:pStyle w:val="Footer"/>
      <w:jc w:val="right"/>
      <w:rPr>
        <w:rFonts w:ascii="Arial Black" w:hAnsi="Arial Black"/>
        <w:color w:val="009900"/>
        <w:sz w:val="18"/>
        <w:szCs w:val="18"/>
        <w:lang w:val="fr-FR"/>
      </w:rPr>
    </w:pPr>
    <w:r>
      <w:rPr>
        <w:rFonts w:ascii="Arial Black" w:hAnsi="Arial Black"/>
        <w:color w:val="009900"/>
        <w:sz w:val="18"/>
        <w:szCs w:val="18"/>
        <w:lang w:val="fr"/>
      </w:rPr>
      <w:t>Activité 11 : Dans quelle mesure sommes-nous compétents 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C953D" w14:textId="77777777" w:rsidR="003D2187" w:rsidRDefault="003D2187" w:rsidP="003F21EF">
      <w:pPr>
        <w:spacing w:after="0" w:line="240" w:lineRule="auto"/>
      </w:pPr>
      <w:r>
        <w:separator/>
      </w:r>
    </w:p>
  </w:footnote>
  <w:footnote w:type="continuationSeparator" w:id="0">
    <w:p w14:paraId="608DD076" w14:textId="77777777" w:rsidR="003D2187" w:rsidRDefault="003D2187" w:rsidP="003F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</w:rPr>
      <w:id w:val="-6236871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C7557A" w14:textId="77777777" w:rsidR="003F21EF" w:rsidRPr="003F21EF" w:rsidRDefault="003F21EF" w:rsidP="003F21EF">
        <w:pPr>
          <w:tabs>
            <w:tab w:val="center" w:pos="4680"/>
            <w:tab w:val="right" w:pos="9360"/>
          </w:tabs>
          <w:spacing w:after="0" w:line="240" w:lineRule="auto"/>
          <w:jc w:val="right"/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</w:rPr>
        </w:pP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fr"/>
          </w:rPr>
          <w:fldChar w:fldCharType="begin"/>
        </w: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fr"/>
          </w:rPr>
          <w:instrText xml:space="preserve"> PAGE   \* MERGEFORMAT </w:instrText>
        </w: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fr"/>
          </w:rPr>
          <w:fldChar w:fldCharType="separate"/>
        </w:r>
        <w:r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  <w:lang w:val="fr"/>
          </w:rPr>
          <w:t>1</w:t>
        </w:r>
        <w:r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  <w:lang w:val="fr"/>
          </w:rPr>
          <w:fldChar w:fldCharType="end"/>
        </w:r>
      </w:p>
      <w:p w14:paraId="652723D3" w14:textId="77777777" w:rsidR="003F21EF" w:rsidRPr="003F21EF" w:rsidRDefault="00000000" w:rsidP="003F21EF">
        <w:pPr>
          <w:tabs>
            <w:tab w:val="center" w:pos="4680"/>
            <w:tab w:val="right" w:pos="9360"/>
          </w:tabs>
          <w:spacing w:after="0" w:line="240" w:lineRule="auto"/>
          <w:jc w:val="right"/>
          <w:rPr>
            <w:rFonts w:ascii="Times New Roman" w:eastAsia="Times New Roman" w:hAnsi="Times New Roman" w:cs="Times New Roman"/>
            <w:sz w:val="24"/>
            <w:szCs w:val="24"/>
          </w:rPr>
        </w:pPr>
      </w:p>
    </w:sdtContent>
  </w:sdt>
  <w:p w14:paraId="2996552F" w14:textId="77777777" w:rsidR="003F21EF" w:rsidRPr="00BE64AA" w:rsidRDefault="003F21EF" w:rsidP="003F21EF">
    <w:pPr>
      <w:shd w:val="clear" w:color="auto" w:fill="996633"/>
      <w:tabs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>Outil 2 : Comparaison des formats de rapports 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1103</w:t>
    </w:r>
  </w:p>
  <w:p w14:paraId="074EA566" w14:textId="77777777" w:rsidR="003F21EF" w:rsidRPr="00BE64AA" w:rsidRDefault="003F21EF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3E"/>
    <w:rsid w:val="000E2C3C"/>
    <w:rsid w:val="00110087"/>
    <w:rsid w:val="002F79D6"/>
    <w:rsid w:val="003D2187"/>
    <w:rsid w:val="003E503E"/>
    <w:rsid w:val="003F21EF"/>
    <w:rsid w:val="004C02BB"/>
    <w:rsid w:val="00620936"/>
    <w:rsid w:val="00794B55"/>
    <w:rsid w:val="009C13BC"/>
    <w:rsid w:val="00AE4086"/>
    <w:rsid w:val="00B34211"/>
    <w:rsid w:val="00BE10B6"/>
    <w:rsid w:val="00BE64AA"/>
    <w:rsid w:val="00CB2876"/>
    <w:rsid w:val="00D86C4E"/>
    <w:rsid w:val="00E807DC"/>
    <w:rsid w:val="00FD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52597"/>
  <w15:docId w15:val="{A9C58519-C13D-4A22-8D3E-E7FF799E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1EF"/>
  </w:style>
  <w:style w:type="paragraph" w:styleId="Footer">
    <w:name w:val="footer"/>
    <w:basedOn w:val="Normal"/>
    <w:link w:val="FooterChar"/>
    <w:uiPriority w:val="99"/>
    <w:unhideWhenUsed/>
    <w:rsid w:val="003F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8</cp:revision>
  <dcterms:created xsi:type="dcterms:W3CDTF">2013-04-13T13:06:00Z</dcterms:created>
  <dcterms:modified xsi:type="dcterms:W3CDTF">2025-05-02T14:06:00Z</dcterms:modified>
</cp:coreProperties>
</file>