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17421" w14:textId="0A5E221C" w:rsidR="0068453B" w:rsidRPr="00A35BA7" w:rsidRDefault="0068453B">
      <w:pPr>
        <w:tabs>
          <w:tab w:val="left" w:pos="10717"/>
        </w:tabs>
        <w:spacing w:before="91"/>
        <w:ind w:left="220"/>
        <w:rPr>
          <w:rFonts w:ascii="Arial"/>
          <w:sz w:val="2"/>
          <w:szCs w:val="2"/>
        </w:rPr>
      </w:pPr>
    </w:p>
    <w:tbl>
      <w:tblPr>
        <w:tblStyle w:val="TableGrid"/>
        <w:tblW w:w="0" w:type="auto"/>
        <w:tblInd w:w="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90"/>
      </w:tblGrid>
      <w:tr w:rsidR="00A35BA7" w:rsidRPr="00E22211" w14:paraId="5A5E01DF" w14:textId="77777777" w:rsidTr="00A35BA7">
        <w:trPr>
          <w:trHeight w:val="281"/>
        </w:trPr>
        <w:tc>
          <w:tcPr>
            <w:tcW w:w="10490" w:type="dxa"/>
            <w:shd w:val="clear" w:color="auto" w:fill="996633"/>
          </w:tcPr>
          <w:p w14:paraId="3F2A71D6" w14:textId="1532B592" w:rsidR="00A35BA7" w:rsidRPr="00E22211" w:rsidRDefault="00A35BA7" w:rsidP="00A35BA7">
            <w:pPr>
              <w:tabs>
                <w:tab w:val="left" w:pos="10717"/>
              </w:tabs>
              <w:rPr>
                <w:rFonts w:ascii="Arial" w:hAnsi="Arial" w:cs="Arial"/>
                <w:b/>
                <w:bCs/>
                <w:sz w:val="28"/>
                <w:szCs w:val="28"/>
                <w:lang w:val="fr-FR"/>
              </w:rPr>
            </w:pPr>
            <w:r>
              <w:rPr>
                <w:rFonts w:ascii="Arial" w:hAnsi="Arial" w:cs="Arial"/>
                <w:b/>
                <w:bCs/>
                <w:color w:val="FFFFFF"/>
                <w:sz w:val="28"/>
                <w:szCs w:val="28"/>
                <w:lang w:val="fr"/>
              </w:rPr>
              <w:t>Aide de travail 2 : Interprétation des rapports de PT </w:t>
            </w:r>
            <w:r>
              <w:rPr>
                <w:rFonts w:ascii="Arial" w:hAnsi="Arial" w:cs="Arial"/>
                <w:b/>
                <w:bCs/>
                <w:color w:val="FFFFFF"/>
                <w:sz w:val="28"/>
                <w:szCs w:val="28"/>
                <w:vertAlign w:val="superscript"/>
                <w:lang w:val="fr"/>
              </w:rPr>
              <w:t>1108</w:t>
            </w:r>
          </w:p>
        </w:tc>
      </w:tr>
    </w:tbl>
    <w:p w14:paraId="6F10E08A" w14:textId="77777777" w:rsidR="0068453B" w:rsidRPr="00E22211" w:rsidRDefault="00AA4E19" w:rsidP="00E22211">
      <w:pPr>
        <w:pStyle w:val="BodyText"/>
        <w:spacing w:before="120"/>
        <w:ind w:left="220"/>
        <w:rPr>
          <w:lang w:val="fr-FR"/>
        </w:rPr>
      </w:pPr>
      <w:r>
        <w:rPr>
          <w:b/>
          <w:bCs/>
          <w:lang w:val="fr"/>
        </w:rPr>
        <w:t xml:space="preserve">Tests de capacité : </w:t>
      </w:r>
      <w:r>
        <w:rPr>
          <w:lang w:val="fr"/>
        </w:rPr>
        <w:t>programme d’essais en laboratoire dans lequel des échantillons provenant d’un pool commun sont périodiquement envoyés aux membres d’un groupe de laboratoires pour analyse, puis les résultats des laboratoires sont comparés les uns aux autres et/ou à une valeur attribuée et sont ensuite rapportés au laboratoire participant.</w:t>
      </w:r>
    </w:p>
    <w:p w14:paraId="3E3FFCC8" w14:textId="77777777" w:rsidR="0068453B" w:rsidRPr="00E22211" w:rsidRDefault="00AA4E19" w:rsidP="00E22211">
      <w:pPr>
        <w:pStyle w:val="BodyText"/>
        <w:spacing w:before="120"/>
        <w:ind w:left="220"/>
        <w:rPr>
          <w:lang w:val="fr-FR"/>
        </w:rPr>
      </w:pPr>
      <w:r>
        <w:rPr>
          <w:b/>
          <w:bCs/>
          <w:sz w:val="28"/>
          <w:lang w:val="fr"/>
        </w:rPr>
        <w:t>N</w:t>
      </w:r>
      <w:r>
        <w:rPr>
          <w:sz w:val="28"/>
          <w:lang w:val="fr"/>
        </w:rPr>
        <w:t xml:space="preserve"> : </w:t>
      </w:r>
      <w:r>
        <w:rPr>
          <w:lang w:val="fr"/>
        </w:rPr>
        <w:t>nombre de données des laboratoires participants utilisées dans le calcul de l’écart-type et/ou de la moyenne du groupe.</w:t>
      </w:r>
    </w:p>
    <w:p w14:paraId="37D16132" w14:textId="77777777" w:rsidR="0068453B" w:rsidRPr="00E22211" w:rsidRDefault="00AA4E19" w:rsidP="00E22211">
      <w:pPr>
        <w:pStyle w:val="BodyText"/>
        <w:spacing w:before="120"/>
        <w:ind w:left="220"/>
        <w:rPr>
          <w:lang w:val="fr-FR"/>
        </w:rPr>
      </w:pPr>
      <w:r>
        <w:rPr>
          <w:lang w:val="fr"/>
        </w:rPr>
        <w:t xml:space="preserve">Les </w:t>
      </w:r>
      <w:r>
        <w:rPr>
          <w:b/>
          <w:bCs/>
          <w:lang w:val="fr"/>
        </w:rPr>
        <w:t xml:space="preserve">moyennes </w:t>
      </w:r>
      <w:r>
        <w:rPr>
          <w:lang w:val="fr"/>
        </w:rPr>
        <w:t xml:space="preserve">(valeurs cibles) sont dérivées des valeurs moyennes de </w:t>
      </w:r>
      <w:proofErr w:type="gramStart"/>
      <w:r>
        <w:rPr>
          <w:lang w:val="fr"/>
        </w:rPr>
        <w:t>tous les participants calculées</w:t>
      </w:r>
      <w:proofErr w:type="gramEnd"/>
      <w:r>
        <w:rPr>
          <w:lang w:val="fr"/>
        </w:rPr>
        <w:t xml:space="preserve"> par une technique statistique robuste. Cependant, dans certains cas, il est reconnu que des cibles spécifiques à la méthode, au réactif et/ou à l’instrument peuvent être nécessaires et que des cibles spécifiques au groupe de pairs sont utilisées lorsqu’il y a lieu.</w:t>
      </w:r>
    </w:p>
    <w:p w14:paraId="768A7B26" w14:textId="77777777" w:rsidR="0068453B" w:rsidRPr="00E22211" w:rsidRDefault="00AA4E19" w:rsidP="00E22211">
      <w:pPr>
        <w:pStyle w:val="BodyText"/>
        <w:spacing w:before="120"/>
        <w:ind w:left="220"/>
        <w:rPr>
          <w:lang w:val="fr-FR"/>
        </w:rPr>
      </w:pPr>
      <w:r>
        <w:rPr>
          <w:b/>
          <w:bCs/>
          <w:lang w:val="fr"/>
        </w:rPr>
        <w:t xml:space="preserve">Plage acceptable : </w:t>
      </w:r>
      <w:r>
        <w:rPr>
          <w:lang w:val="fr"/>
        </w:rPr>
        <w:t>Représente les limites établies à l’aide de critères spécifiés par le fournisseur de PT, tels que la CLIA, qui permettent d’arrondir aux chiffres significatifs appropriés. Les résultats qui se situent dans cette fourchette sont considérés comme acceptables. Tout résultat dépassant ces limites est considéré comme inacceptable.</w:t>
      </w:r>
    </w:p>
    <w:p w14:paraId="4C7F9374" w14:textId="77777777" w:rsidR="0068453B" w:rsidRPr="00E22211" w:rsidRDefault="00AA4E19" w:rsidP="00E22211">
      <w:pPr>
        <w:pStyle w:val="BodyText"/>
        <w:spacing w:before="120"/>
        <w:ind w:left="220" w:right="164"/>
        <w:rPr>
          <w:lang w:val="fr-FR"/>
        </w:rPr>
      </w:pPr>
      <w:r>
        <w:rPr>
          <w:b/>
          <w:bCs/>
          <w:lang w:val="fr"/>
        </w:rPr>
        <w:t xml:space="preserve">SDI </w:t>
      </w:r>
      <w:r>
        <w:rPr>
          <w:lang w:val="fr"/>
        </w:rPr>
        <w:t xml:space="preserve">(indice de déviation standard, ou </w:t>
      </w:r>
      <w:r>
        <w:rPr>
          <w:b/>
          <w:bCs/>
          <w:lang w:val="fr"/>
        </w:rPr>
        <w:t>score Z</w:t>
      </w:r>
      <w:r>
        <w:rPr>
          <w:lang w:val="fr"/>
        </w:rPr>
        <w:t>) : valeur calculée qui indique le nombre d’unités d’écart-type de chaque résultat de la moyenne du groupe et décrit le biais d’une méthode en unités d’écart-type. Le SDI (indice de déviation standard) est exprimé sous forme</w:t>
      </w:r>
    </w:p>
    <w:p w14:paraId="5548B689" w14:textId="77777777" w:rsidR="0068453B" w:rsidRPr="00E22211" w:rsidRDefault="00AA4E19">
      <w:pPr>
        <w:pStyle w:val="BodyText"/>
        <w:ind w:left="220" w:right="302"/>
        <w:rPr>
          <w:lang w:val="fr-FR"/>
        </w:rPr>
      </w:pPr>
      <w:proofErr w:type="gramStart"/>
      <w:r>
        <w:rPr>
          <w:lang w:val="fr"/>
        </w:rPr>
        <w:t>de</w:t>
      </w:r>
      <w:proofErr w:type="gramEnd"/>
      <w:r>
        <w:rPr>
          <w:lang w:val="fr"/>
        </w:rPr>
        <w:t xml:space="preserve"> valeur positive ou négative, indiquant si votre résultat est supérieur ou inférieur à la moyenne du groupe. Pour les tests de PT, le SDI (indice de déviation standard) indique la relation entre le résultat que vous avez obtenu à partir de l’échantillon de PT et le résultat attendu déterminé par le fournisseur de PT.</w:t>
      </w:r>
    </w:p>
    <w:p w14:paraId="5A3EC869" w14:textId="77777777" w:rsidR="0068453B" w:rsidRPr="00E22211" w:rsidRDefault="00AA4E19" w:rsidP="00E22211">
      <w:pPr>
        <w:pStyle w:val="Title"/>
        <w:spacing w:before="240"/>
        <w:ind w:left="0"/>
        <w:jc w:val="center"/>
        <w:rPr>
          <w:lang w:val="fr-FR"/>
        </w:rPr>
      </w:pPr>
      <w:r>
        <w:rPr>
          <w:lang w:val="fr"/>
        </w:rPr>
        <w:t>SDI = (votre résultat – résultat attendu) / écart-type du groupe</w:t>
      </w:r>
    </w:p>
    <w:p w14:paraId="210FEDED" w14:textId="77777777" w:rsidR="0068453B" w:rsidRPr="00E22211" w:rsidRDefault="0068453B" w:rsidP="00E22211">
      <w:pPr>
        <w:pStyle w:val="BodyText"/>
        <w:rPr>
          <w:b/>
          <w:sz w:val="25"/>
          <w:lang w:val="fr-FR"/>
        </w:rPr>
      </w:pPr>
    </w:p>
    <w:tbl>
      <w:tblPr>
        <w:tblW w:w="0" w:type="auto"/>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20"/>
        <w:gridCol w:w="8731"/>
      </w:tblGrid>
      <w:tr w:rsidR="0068453B" w14:paraId="7AAC4E12" w14:textId="77777777">
        <w:trPr>
          <w:trHeight w:val="340"/>
        </w:trPr>
        <w:tc>
          <w:tcPr>
            <w:tcW w:w="1820" w:type="dxa"/>
            <w:tcBorders>
              <w:left w:val="single" w:sz="4" w:space="0" w:color="000000"/>
              <w:bottom w:val="single" w:sz="4" w:space="0" w:color="000000"/>
              <w:right w:val="single" w:sz="4" w:space="0" w:color="000000"/>
            </w:tcBorders>
          </w:tcPr>
          <w:p w14:paraId="7B2761F4" w14:textId="77777777" w:rsidR="0068453B" w:rsidRDefault="00AA4E19">
            <w:pPr>
              <w:pStyle w:val="TableParagraph"/>
              <w:spacing w:line="321" w:lineRule="exact"/>
              <w:ind w:left="705" w:right="695"/>
              <w:jc w:val="center"/>
              <w:rPr>
                <w:b/>
                <w:sz w:val="28"/>
              </w:rPr>
            </w:pPr>
            <w:r>
              <w:rPr>
                <w:b/>
                <w:bCs/>
                <w:sz w:val="28"/>
                <w:lang w:val="fr"/>
              </w:rPr>
              <w:t>SDI</w:t>
            </w:r>
          </w:p>
        </w:tc>
        <w:tc>
          <w:tcPr>
            <w:tcW w:w="8731" w:type="dxa"/>
            <w:tcBorders>
              <w:left w:val="single" w:sz="4" w:space="0" w:color="000000"/>
              <w:bottom w:val="single" w:sz="4" w:space="0" w:color="000000"/>
              <w:right w:val="single" w:sz="4" w:space="0" w:color="000000"/>
            </w:tcBorders>
          </w:tcPr>
          <w:p w14:paraId="30E5CB12" w14:textId="77777777" w:rsidR="0068453B" w:rsidRDefault="00AA4E19">
            <w:pPr>
              <w:pStyle w:val="TableParagraph"/>
              <w:spacing w:line="321" w:lineRule="exact"/>
              <w:ind w:left="3527" w:right="3525"/>
              <w:jc w:val="center"/>
              <w:rPr>
                <w:b/>
                <w:sz w:val="28"/>
              </w:rPr>
            </w:pPr>
            <w:r>
              <w:rPr>
                <w:b/>
                <w:bCs/>
                <w:sz w:val="28"/>
                <w:lang w:val="fr"/>
              </w:rPr>
              <w:t>Interprétation</w:t>
            </w:r>
          </w:p>
        </w:tc>
      </w:tr>
      <w:tr w:rsidR="0068453B" w:rsidRPr="00E22211" w14:paraId="7A228388" w14:textId="77777777">
        <w:trPr>
          <w:trHeight w:val="340"/>
        </w:trPr>
        <w:tc>
          <w:tcPr>
            <w:tcW w:w="1820" w:type="dxa"/>
            <w:tcBorders>
              <w:top w:val="single" w:sz="4" w:space="0" w:color="000000"/>
              <w:left w:val="single" w:sz="4" w:space="0" w:color="000000"/>
              <w:bottom w:val="single" w:sz="4" w:space="0" w:color="000000"/>
              <w:right w:val="single" w:sz="4" w:space="0" w:color="000000"/>
            </w:tcBorders>
          </w:tcPr>
          <w:p w14:paraId="3F3C1541" w14:textId="77777777" w:rsidR="0068453B" w:rsidRDefault="00AA4E19">
            <w:pPr>
              <w:pStyle w:val="TableParagraph"/>
              <w:ind w:left="295"/>
              <w:rPr>
                <w:b/>
                <w:sz w:val="28"/>
              </w:rPr>
            </w:pPr>
            <w:r>
              <w:rPr>
                <w:b/>
                <w:bCs/>
                <w:sz w:val="28"/>
                <w:lang w:val="fr"/>
              </w:rPr>
              <w:t>0</w:t>
            </w:r>
          </w:p>
        </w:tc>
        <w:tc>
          <w:tcPr>
            <w:tcW w:w="8731" w:type="dxa"/>
            <w:tcBorders>
              <w:top w:val="single" w:sz="4" w:space="0" w:color="000000"/>
              <w:left w:val="single" w:sz="4" w:space="0" w:color="000000"/>
              <w:bottom w:val="single" w:sz="4" w:space="0" w:color="000000"/>
              <w:right w:val="single" w:sz="4" w:space="0" w:color="000000"/>
            </w:tcBorders>
          </w:tcPr>
          <w:p w14:paraId="7F083D3F" w14:textId="77777777" w:rsidR="0068453B" w:rsidRPr="00E22211" w:rsidRDefault="00AA4E19">
            <w:pPr>
              <w:pStyle w:val="TableParagraph"/>
              <w:rPr>
                <w:sz w:val="28"/>
                <w:lang w:val="fr-FR"/>
              </w:rPr>
            </w:pPr>
            <w:r>
              <w:rPr>
                <w:sz w:val="28"/>
                <w:lang w:val="fr"/>
              </w:rPr>
              <w:t>La valeur moyenne de votre laboratoire est la même que celle du groupe (pas de biais)</w:t>
            </w:r>
          </w:p>
        </w:tc>
      </w:tr>
      <w:tr w:rsidR="0068453B" w:rsidRPr="00E22211" w14:paraId="52069CAB" w14:textId="77777777">
        <w:trPr>
          <w:trHeight w:val="342"/>
        </w:trPr>
        <w:tc>
          <w:tcPr>
            <w:tcW w:w="1820" w:type="dxa"/>
            <w:tcBorders>
              <w:top w:val="single" w:sz="4" w:space="0" w:color="000000"/>
              <w:left w:val="single" w:sz="4" w:space="0" w:color="000000"/>
              <w:bottom w:val="single" w:sz="4" w:space="0" w:color="000000"/>
              <w:right w:val="single" w:sz="4" w:space="0" w:color="000000"/>
            </w:tcBorders>
          </w:tcPr>
          <w:p w14:paraId="191CFD1B" w14:textId="77777777" w:rsidR="0068453B" w:rsidRDefault="00AA4E19">
            <w:pPr>
              <w:pStyle w:val="TableParagraph"/>
              <w:spacing w:line="323" w:lineRule="exact"/>
              <w:ind w:left="107"/>
              <w:rPr>
                <w:b/>
                <w:sz w:val="28"/>
              </w:rPr>
            </w:pPr>
            <w:r>
              <w:rPr>
                <w:b/>
                <w:bCs/>
                <w:sz w:val="28"/>
                <w:lang w:val="fr"/>
              </w:rPr>
              <w:t>± 1,0</w:t>
            </w:r>
          </w:p>
        </w:tc>
        <w:tc>
          <w:tcPr>
            <w:tcW w:w="8731" w:type="dxa"/>
            <w:tcBorders>
              <w:top w:val="single" w:sz="4" w:space="0" w:color="000000"/>
              <w:left w:val="single" w:sz="4" w:space="0" w:color="000000"/>
              <w:bottom w:val="single" w:sz="4" w:space="0" w:color="000000"/>
              <w:right w:val="single" w:sz="4" w:space="0" w:color="000000"/>
            </w:tcBorders>
          </w:tcPr>
          <w:p w14:paraId="0826C2AA" w14:textId="77777777" w:rsidR="0068453B" w:rsidRPr="00E22211" w:rsidRDefault="00AA4E19">
            <w:pPr>
              <w:pStyle w:val="TableParagraph"/>
              <w:spacing w:line="323" w:lineRule="exact"/>
              <w:rPr>
                <w:sz w:val="28"/>
                <w:lang w:val="fr-FR"/>
              </w:rPr>
            </w:pPr>
            <w:r>
              <w:rPr>
                <w:sz w:val="28"/>
                <w:lang w:val="fr"/>
              </w:rPr>
              <w:t>Performance acceptable par rapport à votre groupe</w:t>
            </w:r>
          </w:p>
        </w:tc>
      </w:tr>
      <w:tr w:rsidR="0068453B" w:rsidRPr="00E22211" w14:paraId="7861332E" w14:textId="77777777">
        <w:trPr>
          <w:trHeight w:val="340"/>
        </w:trPr>
        <w:tc>
          <w:tcPr>
            <w:tcW w:w="1820" w:type="dxa"/>
            <w:tcBorders>
              <w:top w:val="single" w:sz="4" w:space="0" w:color="000000"/>
              <w:left w:val="single" w:sz="4" w:space="0" w:color="000000"/>
              <w:bottom w:val="single" w:sz="4" w:space="0" w:color="000000"/>
              <w:right w:val="single" w:sz="4" w:space="0" w:color="000000"/>
            </w:tcBorders>
          </w:tcPr>
          <w:p w14:paraId="62B52CB4" w14:textId="77777777" w:rsidR="0068453B" w:rsidRDefault="00AA4E19">
            <w:pPr>
              <w:pStyle w:val="TableParagraph"/>
              <w:ind w:left="107"/>
              <w:rPr>
                <w:b/>
                <w:sz w:val="28"/>
              </w:rPr>
            </w:pPr>
            <w:r>
              <w:rPr>
                <w:b/>
                <w:bCs/>
                <w:sz w:val="28"/>
                <w:lang w:val="fr"/>
              </w:rPr>
              <w:t>± 1,0 à 1,9</w:t>
            </w:r>
          </w:p>
        </w:tc>
        <w:tc>
          <w:tcPr>
            <w:tcW w:w="8731" w:type="dxa"/>
            <w:tcBorders>
              <w:top w:val="single" w:sz="4" w:space="0" w:color="000000"/>
              <w:left w:val="single" w:sz="4" w:space="0" w:color="000000"/>
              <w:bottom w:val="single" w:sz="4" w:space="0" w:color="000000"/>
              <w:right w:val="single" w:sz="4" w:space="0" w:color="000000"/>
            </w:tcBorders>
          </w:tcPr>
          <w:p w14:paraId="5B80D466" w14:textId="77777777" w:rsidR="0068453B" w:rsidRPr="00E22211" w:rsidRDefault="00AA4E19">
            <w:pPr>
              <w:pStyle w:val="TableParagraph"/>
              <w:rPr>
                <w:sz w:val="28"/>
                <w:lang w:val="fr-FR"/>
              </w:rPr>
            </w:pPr>
            <w:r>
              <w:rPr>
                <w:sz w:val="28"/>
                <w:lang w:val="fr"/>
              </w:rPr>
              <w:t>Il peut y avoir un problème, le laboratoire doit enquêter sur ce problème avec le biais</w:t>
            </w:r>
          </w:p>
        </w:tc>
      </w:tr>
      <w:tr w:rsidR="0068453B" w:rsidRPr="00E22211" w14:paraId="249EA026" w14:textId="77777777">
        <w:trPr>
          <w:trHeight w:val="686"/>
        </w:trPr>
        <w:tc>
          <w:tcPr>
            <w:tcW w:w="1820" w:type="dxa"/>
            <w:tcBorders>
              <w:top w:val="single" w:sz="4" w:space="0" w:color="000000"/>
              <w:left w:val="single" w:sz="4" w:space="0" w:color="000000"/>
              <w:bottom w:val="single" w:sz="4" w:space="0" w:color="000000"/>
              <w:right w:val="single" w:sz="4" w:space="0" w:color="000000"/>
            </w:tcBorders>
          </w:tcPr>
          <w:p w14:paraId="36C9FDE5" w14:textId="65C8AF3F" w:rsidR="0068453B" w:rsidRDefault="00AA4E19" w:rsidP="00E22211">
            <w:pPr>
              <w:pStyle w:val="TableParagraph"/>
              <w:spacing w:before="2" w:line="341" w:lineRule="exact"/>
              <w:ind w:left="107"/>
              <w:rPr>
                <w:b/>
                <w:sz w:val="28"/>
              </w:rPr>
            </w:pPr>
            <w:r>
              <w:rPr>
                <w:b/>
                <w:bCs/>
                <w:sz w:val="28"/>
                <w:lang w:val="fr"/>
              </w:rPr>
              <w:t>± 2,0 ou</w:t>
            </w:r>
            <w:r w:rsidR="00E22211">
              <w:rPr>
                <w:b/>
                <w:bCs/>
                <w:sz w:val="28"/>
                <w:lang w:val="fr"/>
              </w:rPr>
              <w:t xml:space="preserve"> </w:t>
            </w:r>
            <w:r>
              <w:rPr>
                <w:b/>
                <w:bCs/>
                <w:sz w:val="28"/>
                <w:lang w:val="fr"/>
              </w:rPr>
              <w:t>supérieur</w:t>
            </w:r>
          </w:p>
        </w:tc>
        <w:tc>
          <w:tcPr>
            <w:tcW w:w="8731" w:type="dxa"/>
            <w:tcBorders>
              <w:top w:val="single" w:sz="4" w:space="0" w:color="000000"/>
              <w:left w:val="single" w:sz="4" w:space="0" w:color="000000"/>
              <w:bottom w:val="single" w:sz="4" w:space="0" w:color="000000"/>
              <w:right w:val="single" w:sz="4" w:space="0" w:color="000000"/>
            </w:tcBorders>
          </w:tcPr>
          <w:p w14:paraId="7E1E0710" w14:textId="77777777" w:rsidR="0068453B" w:rsidRPr="00E22211" w:rsidRDefault="00AA4E19">
            <w:pPr>
              <w:pStyle w:val="TableParagraph"/>
              <w:spacing w:before="2" w:line="341" w:lineRule="exact"/>
              <w:rPr>
                <w:sz w:val="28"/>
                <w:lang w:val="fr-FR"/>
              </w:rPr>
            </w:pPr>
            <w:r>
              <w:rPr>
                <w:sz w:val="28"/>
                <w:lang w:val="fr"/>
              </w:rPr>
              <w:t>Votre résultat se situe parmi les laboratoires ayant les performances les plus faibles</w:t>
            </w:r>
          </w:p>
          <w:p w14:paraId="6101FEF3" w14:textId="77777777" w:rsidR="0068453B" w:rsidRPr="00E22211" w:rsidRDefault="00AA4E19">
            <w:pPr>
              <w:pStyle w:val="TableParagraph"/>
              <w:spacing w:line="323" w:lineRule="exact"/>
              <w:rPr>
                <w:sz w:val="28"/>
                <w:lang w:val="fr-FR"/>
              </w:rPr>
            </w:pPr>
            <w:r>
              <w:rPr>
                <w:sz w:val="28"/>
                <w:lang w:val="fr"/>
              </w:rPr>
              <w:t>Résolvez les problèmes de biais et adoptez des mesures correctives</w:t>
            </w:r>
          </w:p>
        </w:tc>
      </w:tr>
    </w:tbl>
    <w:p w14:paraId="74728C8C" w14:textId="77777777" w:rsidR="0068453B" w:rsidRPr="00E22211" w:rsidRDefault="0068453B">
      <w:pPr>
        <w:pStyle w:val="BodyText"/>
        <w:rPr>
          <w:b/>
          <w:sz w:val="20"/>
          <w:lang w:val="fr-FR"/>
        </w:rPr>
      </w:pPr>
    </w:p>
    <w:p w14:paraId="6986C048" w14:textId="77777777" w:rsidR="0068453B" w:rsidRPr="00E22211" w:rsidRDefault="00AA4E19" w:rsidP="00E22211">
      <w:pPr>
        <w:pStyle w:val="Title"/>
        <w:spacing w:before="0"/>
        <w:ind w:left="216"/>
        <w:rPr>
          <w:lang w:val="fr-FR"/>
        </w:rPr>
      </w:pPr>
      <w:r>
        <w:rPr>
          <w:lang w:val="fr"/>
        </w:rPr>
        <w:t>Directives générales pour l’évaluation des résultats des tests de PT lors de l’analyse de cinq échantillons pour chaque analyte</w:t>
      </w:r>
    </w:p>
    <w:p w14:paraId="718B79DF" w14:textId="77777777" w:rsidR="0068453B" w:rsidRPr="00E22211" w:rsidRDefault="00AA4E19" w:rsidP="00E22211">
      <w:pPr>
        <w:pStyle w:val="ListParagraph"/>
        <w:numPr>
          <w:ilvl w:val="0"/>
          <w:numId w:val="1"/>
        </w:numPr>
        <w:spacing w:before="40"/>
        <w:ind w:left="981" w:hanging="396"/>
        <w:rPr>
          <w:sz w:val="26"/>
          <w:lang w:val="fr-FR"/>
        </w:rPr>
      </w:pPr>
      <w:r>
        <w:rPr>
          <w:sz w:val="26"/>
          <w:lang w:val="fr"/>
        </w:rPr>
        <w:t>Si deux ou plus des cinq résultats SDI (indice de déviation standard) dépassent l’indice de déviation standard ±1,0, une enquête plus approfondie est alors justifiée.</w:t>
      </w:r>
    </w:p>
    <w:p w14:paraId="0ECF598C" w14:textId="77777777" w:rsidR="0068453B" w:rsidRPr="00E22211" w:rsidRDefault="00AA4E19" w:rsidP="00E22211">
      <w:pPr>
        <w:pStyle w:val="ListParagraph"/>
        <w:numPr>
          <w:ilvl w:val="0"/>
          <w:numId w:val="1"/>
        </w:numPr>
        <w:spacing w:before="40"/>
        <w:ind w:left="981" w:right="180" w:hanging="396"/>
        <w:rPr>
          <w:sz w:val="26"/>
          <w:lang w:val="fr-FR"/>
        </w:rPr>
      </w:pPr>
      <w:r>
        <w:rPr>
          <w:sz w:val="26"/>
          <w:lang w:val="fr"/>
        </w:rPr>
        <w:t>Si la moyenne des cinq résultats SDI (indice de déviation standard) est supérieure à ±1,5, il existe alors un biais significatif (SE) et il est nécessaire de réviser les données de calibration pour déterminer si un décalage s’est produit.</w:t>
      </w:r>
    </w:p>
    <w:p w14:paraId="43AB1B50" w14:textId="77777777" w:rsidR="0068453B" w:rsidRPr="00E22211" w:rsidRDefault="00AA4E19" w:rsidP="00E22211">
      <w:pPr>
        <w:pStyle w:val="ListParagraph"/>
        <w:numPr>
          <w:ilvl w:val="0"/>
          <w:numId w:val="1"/>
        </w:numPr>
        <w:spacing w:before="40"/>
        <w:ind w:left="981" w:hanging="396"/>
        <w:rPr>
          <w:sz w:val="26"/>
          <w:lang w:val="fr-FR"/>
        </w:rPr>
      </w:pPr>
      <w:r>
        <w:rPr>
          <w:sz w:val="26"/>
          <w:lang w:val="fr"/>
        </w:rPr>
        <w:t>Si un seul SDI (indice de déviation standard) est supérieur à ±3,0, il existe une forte probabilité d’erreur aléatoire (RE).</w:t>
      </w:r>
    </w:p>
    <w:p w14:paraId="1643A288" w14:textId="77777777" w:rsidR="0068453B" w:rsidRPr="00E22211" w:rsidRDefault="00AA4E19" w:rsidP="00E22211">
      <w:pPr>
        <w:pStyle w:val="ListParagraph"/>
        <w:numPr>
          <w:ilvl w:val="0"/>
          <w:numId w:val="1"/>
        </w:numPr>
        <w:spacing w:before="40"/>
        <w:ind w:left="981" w:right="971" w:hanging="396"/>
        <w:rPr>
          <w:sz w:val="26"/>
          <w:lang w:val="fr-FR"/>
        </w:rPr>
      </w:pPr>
      <w:r>
        <w:rPr>
          <w:sz w:val="26"/>
          <w:lang w:val="fr"/>
        </w:rPr>
        <w:t>Si la plage des valeurs SDI (indice de déviation standard) entre les résultats de PT les plus élevés et les plus bas dépasse l’indice de déviation standard ±4, il est possible qu’il s’agisse d’une erreur aléatoire et il est nécessaire d’évaluer la méthode afin de détecter les sources de l’imprécision.</w:t>
      </w:r>
    </w:p>
    <w:sectPr w:rsidR="0068453B" w:rsidRPr="00E22211" w:rsidSect="00A35BA7">
      <w:headerReference w:type="even" r:id="rId7"/>
      <w:headerReference w:type="default" r:id="rId8"/>
      <w:footerReference w:type="even" r:id="rId9"/>
      <w:footerReference w:type="default" r:id="rId10"/>
      <w:headerReference w:type="first" r:id="rId11"/>
      <w:footerReference w:type="first" r:id="rId12"/>
      <w:type w:val="continuous"/>
      <w:pgSz w:w="11910" w:h="16840"/>
      <w:pgMar w:top="600" w:right="580" w:bottom="280" w:left="50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22D74" w14:textId="77777777" w:rsidR="002805A0" w:rsidRDefault="002805A0" w:rsidP="00A35BA7">
      <w:r>
        <w:separator/>
      </w:r>
    </w:p>
  </w:endnote>
  <w:endnote w:type="continuationSeparator" w:id="0">
    <w:p w14:paraId="17FB3208" w14:textId="77777777" w:rsidR="002805A0" w:rsidRDefault="002805A0" w:rsidP="00A35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16D2" w14:textId="77777777" w:rsidR="008B3D87" w:rsidRDefault="008B3D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DCF69" w14:textId="77777777" w:rsidR="008B3D87" w:rsidRDefault="008B3D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9D692" w14:textId="77777777" w:rsidR="008B3D87" w:rsidRDefault="008B3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A9CC7" w14:textId="77777777" w:rsidR="002805A0" w:rsidRDefault="002805A0" w:rsidP="00A35BA7">
      <w:r>
        <w:separator/>
      </w:r>
    </w:p>
  </w:footnote>
  <w:footnote w:type="continuationSeparator" w:id="0">
    <w:p w14:paraId="3951E551" w14:textId="77777777" w:rsidR="002805A0" w:rsidRDefault="002805A0" w:rsidP="00A35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6D696" w14:textId="160DF0FD" w:rsidR="00A35BA7" w:rsidRDefault="00A35B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9F29" w14:textId="2FE2D182" w:rsidR="00A35BA7" w:rsidRDefault="00A35B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F0BB" w14:textId="06697082" w:rsidR="00A35BA7" w:rsidRDefault="00A35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5351A"/>
    <w:multiLevelType w:val="hybridMultilevel"/>
    <w:tmpl w:val="E26E5738"/>
    <w:lvl w:ilvl="0" w:tplc="6CF67A80">
      <w:start w:val="1"/>
      <w:numFmt w:val="decimal"/>
      <w:lvlText w:val="%1."/>
      <w:lvlJc w:val="left"/>
      <w:pPr>
        <w:ind w:left="940" w:hanging="360"/>
        <w:jc w:val="left"/>
      </w:pPr>
      <w:rPr>
        <w:rFonts w:ascii="Calibri" w:eastAsia="Calibri" w:hAnsi="Calibri" w:cs="Calibri" w:hint="default"/>
        <w:b w:val="0"/>
        <w:bCs w:val="0"/>
        <w:i w:val="0"/>
        <w:iCs w:val="0"/>
        <w:w w:val="99"/>
        <w:sz w:val="26"/>
        <w:szCs w:val="26"/>
        <w:lang w:val="en-US" w:eastAsia="en-US" w:bidi="ar-SA"/>
      </w:rPr>
    </w:lvl>
    <w:lvl w:ilvl="1" w:tplc="145A37C0">
      <w:numFmt w:val="bullet"/>
      <w:lvlText w:val="•"/>
      <w:lvlJc w:val="left"/>
      <w:pPr>
        <w:ind w:left="1928" w:hanging="360"/>
      </w:pPr>
      <w:rPr>
        <w:rFonts w:hint="default"/>
        <w:lang w:val="en-US" w:eastAsia="en-US" w:bidi="ar-SA"/>
      </w:rPr>
    </w:lvl>
    <w:lvl w:ilvl="2" w:tplc="19FAFD30">
      <w:numFmt w:val="bullet"/>
      <w:lvlText w:val="•"/>
      <w:lvlJc w:val="left"/>
      <w:pPr>
        <w:ind w:left="2917" w:hanging="360"/>
      </w:pPr>
      <w:rPr>
        <w:rFonts w:hint="default"/>
        <w:lang w:val="en-US" w:eastAsia="en-US" w:bidi="ar-SA"/>
      </w:rPr>
    </w:lvl>
    <w:lvl w:ilvl="3" w:tplc="ACF47CEC">
      <w:numFmt w:val="bullet"/>
      <w:lvlText w:val="•"/>
      <w:lvlJc w:val="left"/>
      <w:pPr>
        <w:ind w:left="3905" w:hanging="360"/>
      </w:pPr>
      <w:rPr>
        <w:rFonts w:hint="default"/>
        <w:lang w:val="en-US" w:eastAsia="en-US" w:bidi="ar-SA"/>
      </w:rPr>
    </w:lvl>
    <w:lvl w:ilvl="4" w:tplc="002CDE16">
      <w:numFmt w:val="bullet"/>
      <w:lvlText w:val="•"/>
      <w:lvlJc w:val="left"/>
      <w:pPr>
        <w:ind w:left="4894" w:hanging="360"/>
      </w:pPr>
      <w:rPr>
        <w:rFonts w:hint="default"/>
        <w:lang w:val="en-US" w:eastAsia="en-US" w:bidi="ar-SA"/>
      </w:rPr>
    </w:lvl>
    <w:lvl w:ilvl="5" w:tplc="6B925688">
      <w:numFmt w:val="bullet"/>
      <w:lvlText w:val="•"/>
      <w:lvlJc w:val="left"/>
      <w:pPr>
        <w:ind w:left="5883" w:hanging="360"/>
      </w:pPr>
      <w:rPr>
        <w:rFonts w:hint="default"/>
        <w:lang w:val="en-US" w:eastAsia="en-US" w:bidi="ar-SA"/>
      </w:rPr>
    </w:lvl>
    <w:lvl w:ilvl="6" w:tplc="0B58A418">
      <w:numFmt w:val="bullet"/>
      <w:lvlText w:val="•"/>
      <w:lvlJc w:val="left"/>
      <w:pPr>
        <w:ind w:left="6871" w:hanging="360"/>
      </w:pPr>
      <w:rPr>
        <w:rFonts w:hint="default"/>
        <w:lang w:val="en-US" w:eastAsia="en-US" w:bidi="ar-SA"/>
      </w:rPr>
    </w:lvl>
    <w:lvl w:ilvl="7" w:tplc="9B4E9468">
      <w:numFmt w:val="bullet"/>
      <w:lvlText w:val="•"/>
      <w:lvlJc w:val="left"/>
      <w:pPr>
        <w:ind w:left="7860" w:hanging="360"/>
      </w:pPr>
      <w:rPr>
        <w:rFonts w:hint="default"/>
        <w:lang w:val="en-US" w:eastAsia="en-US" w:bidi="ar-SA"/>
      </w:rPr>
    </w:lvl>
    <w:lvl w:ilvl="8" w:tplc="C226D780">
      <w:numFmt w:val="bullet"/>
      <w:lvlText w:val="•"/>
      <w:lvlJc w:val="left"/>
      <w:pPr>
        <w:ind w:left="8849" w:hanging="360"/>
      </w:pPr>
      <w:rPr>
        <w:rFonts w:hint="default"/>
        <w:lang w:val="en-US" w:eastAsia="en-US" w:bidi="ar-SA"/>
      </w:rPr>
    </w:lvl>
  </w:abstractNum>
  <w:num w:numId="1" w16cid:durableId="335884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53B"/>
    <w:rsid w:val="00023CE6"/>
    <w:rsid w:val="0014189D"/>
    <w:rsid w:val="0020750F"/>
    <w:rsid w:val="002805A0"/>
    <w:rsid w:val="002D4EA4"/>
    <w:rsid w:val="003338DB"/>
    <w:rsid w:val="00453466"/>
    <w:rsid w:val="005F5832"/>
    <w:rsid w:val="0068453B"/>
    <w:rsid w:val="007F16C7"/>
    <w:rsid w:val="008222F9"/>
    <w:rsid w:val="008B3D87"/>
    <w:rsid w:val="008D425A"/>
    <w:rsid w:val="008F01CD"/>
    <w:rsid w:val="00A35BA7"/>
    <w:rsid w:val="00AA4E19"/>
    <w:rsid w:val="00AF5D21"/>
    <w:rsid w:val="00C33378"/>
    <w:rsid w:val="00C7131B"/>
    <w:rsid w:val="00D4691D"/>
    <w:rsid w:val="00E22211"/>
    <w:rsid w:val="00E70526"/>
    <w:rsid w:val="00F33CFC"/>
    <w:rsid w:val="00F36D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5BD2B"/>
  <w15:docId w15:val="{8F52CD1E-C534-409C-9817-6D667F21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220"/>
    </w:pPr>
    <w:rPr>
      <w:b/>
      <w:bCs/>
      <w:sz w:val="32"/>
      <w:szCs w:val="32"/>
    </w:rPr>
  </w:style>
  <w:style w:type="paragraph" w:styleId="ListParagraph">
    <w:name w:val="List Paragraph"/>
    <w:basedOn w:val="Normal"/>
    <w:uiPriority w:val="1"/>
    <w:qFormat/>
    <w:pPr>
      <w:ind w:left="940" w:hanging="361"/>
    </w:pPr>
  </w:style>
  <w:style w:type="paragraph" w:customStyle="1" w:styleId="TableParagraph">
    <w:name w:val="Table Paragraph"/>
    <w:basedOn w:val="Normal"/>
    <w:uiPriority w:val="1"/>
    <w:qFormat/>
    <w:pPr>
      <w:spacing w:line="320" w:lineRule="exact"/>
      <w:ind w:left="105"/>
    </w:pPr>
  </w:style>
  <w:style w:type="paragraph" w:styleId="Header">
    <w:name w:val="header"/>
    <w:basedOn w:val="Normal"/>
    <w:link w:val="HeaderChar"/>
    <w:uiPriority w:val="99"/>
    <w:unhideWhenUsed/>
    <w:rsid w:val="00A35BA7"/>
    <w:pPr>
      <w:tabs>
        <w:tab w:val="center" w:pos="4680"/>
        <w:tab w:val="right" w:pos="9360"/>
      </w:tabs>
    </w:pPr>
  </w:style>
  <w:style w:type="character" w:customStyle="1" w:styleId="HeaderChar">
    <w:name w:val="Header Char"/>
    <w:basedOn w:val="DefaultParagraphFont"/>
    <w:link w:val="Header"/>
    <w:uiPriority w:val="99"/>
    <w:rsid w:val="00A35BA7"/>
    <w:rPr>
      <w:rFonts w:ascii="Calibri" w:eastAsia="Calibri" w:hAnsi="Calibri" w:cs="Calibri"/>
    </w:rPr>
  </w:style>
  <w:style w:type="paragraph" w:styleId="Footer">
    <w:name w:val="footer"/>
    <w:basedOn w:val="Normal"/>
    <w:link w:val="FooterChar"/>
    <w:uiPriority w:val="99"/>
    <w:unhideWhenUsed/>
    <w:rsid w:val="00A35BA7"/>
    <w:pPr>
      <w:tabs>
        <w:tab w:val="center" w:pos="4680"/>
        <w:tab w:val="right" w:pos="9360"/>
      </w:tabs>
    </w:pPr>
  </w:style>
  <w:style w:type="character" w:customStyle="1" w:styleId="FooterChar">
    <w:name w:val="Footer Char"/>
    <w:basedOn w:val="DefaultParagraphFont"/>
    <w:link w:val="Footer"/>
    <w:uiPriority w:val="99"/>
    <w:rsid w:val="00A35BA7"/>
    <w:rPr>
      <w:rFonts w:ascii="Calibri" w:eastAsia="Calibri" w:hAnsi="Calibri" w:cs="Calibri"/>
    </w:rPr>
  </w:style>
  <w:style w:type="table" w:styleId="TableGrid">
    <w:name w:val="Table Grid"/>
    <w:basedOn w:val="TableNormal"/>
    <w:uiPriority w:val="39"/>
    <w:rsid w:val="00A35B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516</Words>
  <Characters>2787</Characters>
  <Application>Microsoft Office Word</Application>
  <DocSecurity>0</DocSecurity>
  <Lines>51</Lines>
  <Paragraphs>35</Paragraphs>
  <ScaleCrop>false</ScaleCrop>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Admin</cp:lastModifiedBy>
  <cp:revision>3</cp:revision>
  <dcterms:created xsi:type="dcterms:W3CDTF">2024-12-05T08:00:00Z</dcterms:created>
  <dcterms:modified xsi:type="dcterms:W3CDTF">2025-05-02T13:55:00Z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2022-03-20T00:00:00Z</vt:filetime>
  </property>
  <property fmtid="{D5CDD505-2E9C-101B-9397-08002B2CF9AE}" pid="3" name="Creator">
    <vt:lpwstr>Microsoft® Word 2010</vt:lpwstr>
  </property>
  <property fmtid="{D5CDD505-2E9C-101B-9397-08002B2CF9AE}" pid="4" name="LastSaved">
    <vt:filetime>2024-12-05T00:00:00Z</vt:filetime>
  </property>
</Properties>
</file>