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CC716" w14:textId="77777777" w:rsidR="008E3267" w:rsidRPr="00B731D8" w:rsidRDefault="0069054F" w:rsidP="004D4775">
      <w:pPr>
        <w:pStyle w:val="ListParagraph"/>
        <w:ind w:left="0"/>
        <w:rPr>
          <w:rFonts w:ascii="Times New Roman" w:hAnsi="Times New Roman" w:cs="Times New Roman"/>
        </w:rPr>
      </w:pPr>
      <w:r>
        <w:rPr>
          <w:rFonts w:ascii="Times New Roman" w:hAnsi="Times New Roman" w:cs="Times New Roman"/>
          <w:lang w:val="fr"/>
        </w:rPr>
        <w:t xml:space="preserve">Nous attendons des matériaux de contrôle qualité qu’ils fournissent des informations sur ce qu’il se passe avec la procédure de mesure.  En d’autres termes, nous nous attendons à ce que les performances des matériaux de contrôle qualité reflètent les mêmes effets que ceux qui se produisent sur nos échantillons de patients.  Pour ce faire, les matériaux de contrôle qualité doivent : </w:t>
      </w:r>
      <w:r>
        <w:rPr>
          <w:rFonts w:ascii="Times New Roman" w:hAnsi="Times New Roman" w:cs="Times New Roman"/>
          <w:vertAlign w:val="superscript"/>
          <w:lang w:val="fr"/>
        </w:rPr>
        <w:t>[i]</w:t>
      </w:r>
    </w:p>
    <w:p w14:paraId="75FE5F85" w14:textId="77777777" w:rsidR="008E3267" w:rsidRPr="00B731D8" w:rsidRDefault="0069054F" w:rsidP="004D4775">
      <w:pPr>
        <w:pStyle w:val="ListParagraph"/>
        <w:numPr>
          <w:ilvl w:val="0"/>
          <w:numId w:val="4"/>
        </w:numPr>
        <w:ind w:left="792"/>
        <w:rPr>
          <w:rFonts w:ascii="Times New Roman" w:hAnsi="Times New Roman" w:cs="Times New Roman"/>
        </w:rPr>
      </w:pPr>
      <w:r>
        <w:rPr>
          <w:rFonts w:ascii="Times New Roman" w:hAnsi="Times New Roman" w:cs="Times New Roman"/>
          <w:lang w:val="fr"/>
        </w:rPr>
        <w:t>Imiter la matrice et la viscosité des échantillons de patients testés</w:t>
      </w:r>
    </w:p>
    <w:p w14:paraId="3AA36AED" w14:textId="77777777" w:rsidR="0069054F" w:rsidRPr="00B731D8" w:rsidRDefault="0069054F"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Matrice — la base à partir de laquelle les matériaux de contrôle sont préparés en plus des conservateurs ajoutés pour la stabilité</w:t>
      </w:r>
    </w:p>
    <w:p w14:paraId="2A49D872" w14:textId="77777777" w:rsidR="0069054F" w:rsidRPr="00B731D8" w:rsidRDefault="0069054F"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Effet de matrice — l’influence de la matrice du matériel de contrôle, autre que la concentration de l’analyte, sur la procédure de mesure pour produire des résultats différents comparés à d’autres méthodes, tout en produisant des résultats cohérents sur les échantillons de patients</w:t>
      </w:r>
    </w:p>
    <w:p w14:paraId="6E0158CA" w14:textId="77777777" w:rsidR="0069054F" w:rsidRPr="00B731D8" w:rsidRDefault="0069054F" w:rsidP="004D4775">
      <w:pPr>
        <w:pStyle w:val="ListParagraph"/>
        <w:numPr>
          <w:ilvl w:val="0"/>
          <w:numId w:val="4"/>
        </w:numPr>
        <w:ind w:left="792"/>
        <w:rPr>
          <w:rFonts w:ascii="Times New Roman" w:hAnsi="Times New Roman" w:cs="Times New Roman"/>
        </w:rPr>
      </w:pPr>
      <w:r>
        <w:rPr>
          <w:rFonts w:ascii="Times New Roman" w:hAnsi="Times New Roman" w:cs="Times New Roman"/>
          <w:lang w:val="fr"/>
        </w:rPr>
        <w:t>Être à la fois physiquement et chimiquement sensible aux changements dans la procédure de mesure des échantillons de patients</w:t>
      </w:r>
    </w:p>
    <w:p w14:paraId="44B8333F" w14:textId="77777777" w:rsidR="0069054F" w:rsidRPr="00B731D8" w:rsidRDefault="0069054F" w:rsidP="004D4775">
      <w:pPr>
        <w:pStyle w:val="ListParagraph"/>
        <w:numPr>
          <w:ilvl w:val="0"/>
          <w:numId w:val="4"/>
        </w:numPr>
        <w:ind w:left="792"/>
        <w:rPr>
          <w:rFonts w:ascii="Times New Roman" w:hAnsi="Times New Roman" w:cs="Times New Roman"/>
        </w:rPr>
      </w:pPr>
      <w:r>
        <w:rPr>
          <w:rFonts w:ascii="Times New Roman" w:hAnsi="Times New Roman" w:cs="Times New Roman"/>
          <w:lang w:val="fr"/>
        </w:rPr>
        <w:t>Contenir des concentrations d’analytes au niveau ou à proximité des points de décision médicale</w:t>
      </w:r>
    </w:p>
    <w:p w14:paraId="6992C715" w14:textId="77777777" w:rsidR="0069054F" w:rsidRPr="00B731D8" w:rsidRDefault="0069054F" w:rsidP="004D4775">
      <w:pPr>
        <w:pStyle w:val="ListParagraph"/>
        <w:numPr>
          <w:ilvl w:val="0"/>
          <w:numId w:val="4"/>
        </w:numPr>
        <w:ind w:left="792"/>
        <w:rPr>
          <w:rFonts w:ascii="Times New Roman" w:hAnsi="Times New Roman" w:cs="Times New Roman"/>
        </w:rPr>
      </w:pPr>
      <w:r>
        <w:rPr>
          <w:rFonts w:ascii="Times New Roman" w:hAnsi="Times New Roman" w:cs="Times New Roman"/>
          <w:lang w:val="fr"/>
        </w:rPr>
        <w:t>Être disponible dans un numéro de lot stable pendant une période prolongée</w:t>
      </w:r>
    </w:p>
    <w:p w14:paraId="3EEC709B" w14:textId="77777777" w:rsidR="0069054F" w:rsidRPr="00B731D8" w:rsidRDefault="0069054F" w:rsidP="004D4775">
      <w:pPr>
        <w:pStyle w:val="ListParagraph"/>
        <w:numPr>
          <w:ilvl w:val="0"/>
          <w:numId w:val="4"/>
        </w:numPr>
        <w:ind w:left="792"/>
        <w:rPr>
          <w:rFonts w:ascii="Times New Roman" w:hAnsi="Times New Roman" w:cs="Times New Roman"/>
        </w:rPr>
      </w:pPr>
      <w:r>
        <w:rPr>
          <w:rFonts w:ascii="Times New Roman" w:hAnsi="Times New Roman" w:cs="Times New Roman"/>
          <w:lang w:val="fr"/>
        </w:rPr>
        <w:t>Être disponible à différents niveaux de concentration pour évaluer la plage de mesure de la méthode</w:t>
      </w:r>
    </w:p>
    <w:p w14:paraId="0FA8CD71" w14:textId="77777777" w:rsidR="0069054F" w:rsidRPr="00B731D8" w:rsidRDefault="0069054F" w:rsidP="004D4775">
      <w:pPr>
        <w:pStyle w:val="ListParagraph"/>
        <w:numPr>
          <w:ilvl w:val="0"/>
          <w:numId w:val="4"/>
        </w:numPr>
        <w:ind w:left="792"/>
        <w:rPr>
          <w:rFonts w:ascii="Times New Roman" w:hAnsi="Times New Roman" w:cs="Times New Roman"/>
        </w:rPr>
      </w:pPr>
      <w:r>
        <w:rPr>
          <w:rFonts w:ascii="Times New Roman" w:hAnsi="Times New Roman" w:cs="Times New Roman"/>
          <w:lang w:val="fr"/>
        </w:rPr>
        <w:t>Rester stable avant et après l’ouverture d’un flacon comme indiqué par le fabricant</w:t>
      </w:r>
    </w:p>
    <w:p w14:paraId="59DE2770" w14:textId="77777777" w:rsidR="0069054F" w:rsidRDefault="0069054F" w:rsidP="004D4775">
      <w:pPr>
        <w:pStyle w:val="ListParagraph"/>
        <w:numPr>
          <w:ilvl w:val="0"/>
          <w:numId w:val="4"/>
        </w:numPr>
        <w:ind w:left="792"/>
        <w:rPr>
          <w:rFonts w:ascii="Times New Roman" w:hAnsi="Times New Roman" w:cs="Times New Roman"/>
        </w:rPr>
      </w:pPr>
      <w:r>
        <w:rPr>
          <w:rFonts w:ascii="Times New Roman" w:hAnsi="Times New Roman" w:cs="Times New Roman"/>
          <w:lang w:val="fr"/>
        </w:rPr>
        <w:t>Produire une variabilité minimale d’un flacon à l’autre</w:t>
      </w:r>
    </w:p>
    <w:p w14:paraId="3A9BE727" w14:textId="77777777" w:rsidR="00B47FF2" w:rsidRPr="00B47FF2" w:rsidRDefault="00B47FF2" w:rsidP="004D4775">
      <w:pPr>
        <w:pStyle w:val="ListParagraph"/>
        <w:spacing w:after="120"/>
        <w:ind w:left="1440"/>
        <w:jc w:val="right"/>
        <w:rPr>
          <w:rFonts w:ascii="Times New Roman" w:hAnsi="Times New Roman" w:cs="Times New Roman"/>
          <w:sz w:val="16"/>
          <w:szCs w:val="16"/>
        </w:rPr>
      </w:pPr>
      <w:r>
        <w:rPr>
          <w:rFonts w:ascii="Times New Roman" w:hAnsi="Times New Roman" w:cs="Times New Roman"/>
          <w:sz w:val="16"/>
          <w:szCs w:val="16"/>
          <w:vertAlign w:val="superscript"/>
          <w:lang w:val="fr"/>
        </w:rPr>
        <w:t>[i]</w:t>
      </w:r>
      <w:r>
        <w:rPr>
          <w:rFonts w:ascii="Times New Roman" w:hAnsi="Times New Roman" w:cs="Times New Roman"/>
          <w:sz w:val="16"/>
          <w:szCs w:val="16"/>
          <w:lang w:val="fr"/>
        </w:rPr>
        <w:t xml:space="preserve"> Brooks, Zoe (2003). Contrôle qualité — des données aux décisions. Concepts de base (Section 2, Thème 2)</w:t>
      </w:r>
    </w:p>
    <w:p w14:paraId="09FF997D" w14:textId="77777777" w:rsidR="0069054F" w:rsidRPr="00B731D8" w:rsidRDefault="0069054F" w:rsidP="004D4775">
      <w:pPr>
        <w:spacing w:after="0" w:line="240" w:lineRule="auto"/>
        <w:rPr>
          <w:rFonts w:ascii="Times New Roman" w:hAnsi="Times New Roman" w:cs="Times New Roman"/>
        </w:rPr>
      </w:pPr>
      <w:r>
        <w:rPr>
          <w:rFonts w:ascii="Times New Roman" w:hAnsi="Times New Roman" w:cs="Times New Roman"/>
          <w:lang w:val="fr"/>
        </w:rPr>
        <w:t>En plus des qualités mentionnées ci-dessus, d’autres considérations doivent être prises en compte pour votre site spécifique, telles que :</w:t>
      </w:r>
    </w:p>
    <w:p w14:paraId="2DB00D7A" w14:textId="77777777" w:rsidR="007B5766" w:rsidRPr="00B731D8" w:rsidRDefault="007B5766" w:rsidP="004D4775">
      <w:pPr>
        <w:pStyle w:val="ListParagraph"/>
        <w:numPr>
          <w:ilvl w:val="0"/>
          <w:numId w:val="5"/>
        </w:numPr>
        <w:ind w:left="792"/>
        <w:rPr>
          <w:rFonts w:ascii="Times New Roman" w:hAnsi="Times New Roman" w:cs="Times New Roman"/>
        </w:rPr>
      </w:pPr>
      <w:r>
        <w:rPr>
          <w:rFonts w:ascii="Times New Roman" w:hAnsi="Times New Roman" w:cs="Times New Roman"/>
          <w:lang w:val="fr"/>
        </w:rPr>
        <w:t>Utilisation de contrôles lyophilisés</w:t>
      </w:r>
    </w:p>
    <w:p w14:paraId="5601DC95" w14:textId="77777777" w:rsidR="007B5766" w:rsidRPr="00B731D8" w:rsidRDefault="007B5766"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Généralement moins cher par boîte que liquide</w:t>
      </w:r>
    </w:p>
    <w:p w14:paraId="2078231D" w14:textId="77777777" w:rsidR="007B5766" w:rsidRPr="00B731D8" w:rsidRDefault="007B5766"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Nécessite un diluant spécial ou de l’eau désionisée de type I</w:t>
      </w:r>
    </w:p>
    <w:p w14:paraId="3BE7C0FD" w14:textId="77777777" w:rsidR="007B5766" w:rsidRPr="00B731D8" w:rsidRDefault="007B5766"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Exiger la disponibilité de pipettes volumétriques de classe A propres et de poires de pipetage</w:t>
      </w:r>
    </w:p>
    <w:p w14:paraId="44E37F41" w14:textId="77777777" w:rsidR="007B5766" w:rsidRPr="00B731D8" w:rsidRDefault="007B5766"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Exiger du personnel capable d’effectuer</w:t>
      </w:r>
    </w:p>
    <w:p w14:paraId="6695B62E" w14:textId="77777777" w:rsidR="007B5766" w:rsidRPr="00B731D8" w:rsidRDefault="007B5766" w:rsidP="004D4775">
      <w:pPr>
        <w:pStyle w:val="ListParagraph"/>
        <w:numPr>
          <w:ilvl w:val="2"/>
          <w:numId w:val="5"/>
        </w:numPr>
        <w:ind w:left="2196"/>
        <w:rPr>
          <w:rFonts w:ascii="Times New Roman" w:hAnsi="Times New Roman" w:cs="Times New Roman"/>
        </w:rPr>
      </w:pPr>
      <w:r>
        <w:rPr>
          <w:rFonts w:ascii="Times New Roman" w:hAnsi="Times New Roman" w:cs="Times New Roman"/>
          <w:lang w:val="fr"/>
        </w:rPr>
        <w:t>Un pipetage manuel précis</w:t>
      </w:r>
    </w:p>
    <w:p w14:paraId="187AED30" w14:textId="77777777" w:rsidR="007B5766" w:rsidRPr="00B731D8" w:rsidRDefault="007B5766" w:rsidP="004D4775">
      <w:pPr>
        <w:pStyle w:val="ListParagraph"/>
        <w:numPr>
          <w:ilvl w:val="2"/>
          <w:numId w:val="5"/>
        </w:numPr>
        <w:ind w:left="2196"/>
        <w:rPr>
          <w:rFonts w:ascii="Times New Roman" w:hAnsi="Times New Roman" w:cs="Times New Roman"/>
        </w:rPr>
      </w:pPr>
      <w:r>
        <w:rPr>
          <w:rFonts w:ascii="Times New Roman" w:hAnsi="Times New Roman" w:cs="Times New Roman"/>
          <w:lang w:val="fr"/>
        </w:rPr>
        <w:t>Respecter strictement les instructions de reconstitution et de mélange fournies par le fabricant</w:t>
      </w:r>
    </w:p>
    <w:p w14:paraId="3EEA022F" w14:textId="77777777" w:rsidR="007B5766" w:rsidRPr="00B731D8" w:rsidRDefault="007B5766"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Il peut y avoir une plus grande variabilité d’un flacon à l’autre (augmentation de l’imprécision), en particulier en cas de manipulation et de reconstitution incorrectes.</w:t>
      </w:r>
    </w:p>
    <w:p w14:paraId="3262A44F" w14:textId="77777777" w:rsidR="007B5766" w:rsidRPr="00B731D8" w:rsidRDefault="007B5766" w:rsidP="004D4775">
      <w:pPr>
        <w:pStyle w:val="ListParagraph"/>
        <w:numPr>
          <w:ilvl w:val="1"/>
          <w:numId w:val="4"/>
        </w:numPr>
        <w:ind w:left="1512"/>
        <w:rPr>
          <w:rFonts w:ascii="Times New Roman" w:hAnsi="Times New Roman" w:cs="Times New Roman"/>
        </w:rPr>
      </w:pPr>
      <w:r>
        <w:rPr>
          <w:rFonts w:ascii="Times New Roman" w:hAnsi="Times New Roman" w:cs="Times New Roman"/>
          <w:lang w:val="fr"/>
        </w:rPr>
        <w:t>Délai de péremption après ouverture du flacon souvent plus court</w:t>
      </w:r>
    </w:p>
    <w:p w14:paraId="0D463F5F" w14:textId="77777777" w:rsidR="007B5766" w:rsidRPr="00B731D8" w:rsidRDefault="007B5766" w:rsidP="004D4775">
      <w:pPr>
        <w:pStyle w:val="ListParagraph"/>
        <w:numPr>
          <w:ilvl w:val="2"/>
          <w:numId w:val="5"/>
        </w:numPr>
        <w:ind w:left="2196"/>
        <w:rPr>
          <w:rFonts w:ascii="Times New Roman" w:hAnsi="Times New Roman" w:cs="Times New Roman"/>
        </w:rPr>
      </w:pPr>
      <w:r>
        <w:rPr>
          <w:rFonts w:ascii="Times New Roman" w:hAnsi="Times New Roman" w:cs="Times New Roman"/>
          <w:lang w:val="fr"/>
        </w:rPr>
        <w:t>La partie non utilisée doit parfois être jetée (coûts cachés potentiels)</w:t>
      </w:r>
    </w:p>
    <w:p w14:paraId="5AF9DCBA" w14:textId="77777777" w:rsidR="007B5766" w:rsidRPr="00B731D8" w:rsidRDefault="007B5766" w:rsidP="004D4775">
      <w:pPr>
        <w:pStyle w:val="ListParagraph"/>
        <w:numPr>
          <w:ilvl w:val="0"/>
          <w:numId w:val="5"/>
        </w:numPr>
        <w:ind w:left="792"/>
        <w:rPr>
          <w:rFonts w:ascii="Times New Roman" w:hAnsi="Times New Roman" w:cs="Times New Roman"/>
        </w:rPr>
      </w:pPr>
      <w:r>
        <w:rPr>
          <w:rFonts w:ascii="Times New Roman" w:hAnsi="Times New Roman" w:cs="Times New Roman"/>
          <w:lang w:val="fr"/>
        </w:rPr>
        <w:t>Utilisation de contrôles liquides</w:t>
      </w:r>
    </w:p>
    <w:p w14:paraId="3E95B4C5" w14:textId="77777777" w:rsidR="007B5766" w:rsidRPr="00B731D8" w:rsidRDefault="007B5766"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Généralement plus cher par boîte que lyophilisé</w:t>
      </w:r>
    </w:p>
    <w:p w14:paraId="1044C44F" w14:textId="77777777" w:rsidR="007B5766" w:rsidRPr="00B731D8" w:rsidRDefault="007B5766"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Élimine de nombreuses erreurs de manipulation et de reconstitution</w:t>
      </w:r>
    </w:p>
    <w:p w14:paraId="392BBCE7" w14:textId="77777777" w:rsidR="007B5766" w:rsidRPr="00B731D8" w:rsidRDefault="007B5766"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L’influence de l’effet de matrice peut être plus grande selon la méthode utilisée</w:t>
      </w:r>
    </w:p>
    <w:p w14:paraId="5DFAB837" w14:textId="77777777" w:rsidR="007B5766" w:rsidRPr="00B731D8" w:rsidRDefault="007B5766"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Délai de péremption après ouverture du flacon souvent plus long</w:t>
      </w:r>
    </w:p>
    <w:p w14:paraId="767A0F10" w14:textId="77777777" w:rsidR="007B5766" w:rsidRPr="00B731D8" w:rsidRDefault="007B5766" w:rsidP="004D4775">
      <w:pPr>
        <w:pStyle w:val="ListParagraph"/>
        <w:numPr>
          <w:ilvl w:val="2"/>
          <w:numId w:val="5"/>
        </w:numPr>
        <w:ind w:left="2196"/>
        <w:rPr>
          <w:rFonts w:ascii="Times New Roman" w:hAnsi="Times New Roman" w:cs="Times New Roman"/>
        </w:rPr>
      </w:pPr>
      <w:r>
        <w:rPr>
          <w:rFonts w:ascii="Times New Roman" w:hAnsi="Times New Roman" w:cs="Times New Roman"/>
          <w:lang w:val="fr"/>
        </w:rPr>
        <w:t>Moins de produit jeté s’il est consommé avant la date de péremption.</w:t>
      </w:r>
    </w:p>
    <w:p w14:paraId="43A0C708" w14:textId="77777777" w:rsidR="007B5766" w:rsidRPr="00B731D8" w:rsidRDefault="007B5766" w:rsidP="004D4775">
      <w:pPr>
        <w:pStyle w:val="ListParagraph"/>
        <w:numPr>
          <w:ilvl w:val="0"/>
          <w:numId w:val="5"/>
        </w:numPr>
        <w:ind w:left="792"/>
        <w:rPr>
          <w:rFonts w:ascii="Times New Roman" w:hAnsi="Times New Roman" w:cs="Times New Roman"/>
        </w:rPr>
      </w:pPr>
      <w:r>
        <w:rPr>
          <w:rFonts w:ascii="Times New Roman" w:hAnsi="Times New Roman" w:cs="Times New Roman"/>
          <w:lang w:val="fr"/>
        </w:rPr>
        <w:t>Fréquence des changements de numéro de lot</w:t>
      </w:r>
    </w:p>
    <w:p w14:paraId="0A005F3E" w14:textId="77777777" w:rsidR="007B5766" w:rsidRPr="00B731D8" w:rsidRDefault="007B5766"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La réalisation de test en parallèle prend du temps et coûte de l’argent (coûts de réalisation de tests sur des matériaux de contrôle qualité)</w:t>
      </w:r>
    </w:p>
    <w:p w14:paraId="4B527F20" w14:textId="77777777" w:rsidR="00BE6392" w:rsidRPr="00B731D8" w:rsidRDefault="00BE6392"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À chaque changement de numéro de lot de matériel de contrôle qualité, vous perdez l’accès aux données récapitulatives ou cumulatives</w:t>
      </w:r>
    </w:p>
    <w:p w14:paraId="36E3D1E8" w14:textId="77777777" w:rsidR="007B5766" w:rsidRPr="00B731D8" w:rsidRDefault="007B5766"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Il est recommandé d’acheter un approvisionnement annuel du même numéro de lot, lorsque cela est possible.</w:t>
      </w:r>
    </w:p>
    <w:p w14:paraId="5CF87E9B" w14:textId="77777777" w:rsidR="00BE6392" w:rsidRPr="00B731D8" w:rsidRDefault="00BE6392" w:rsidP="004D4775">
      <w:pPr>
        <w:pStyle w:val="ListParagraph"/>
        <w:numPr>
          <w:ilvl w:val="2"/>
          <w:numId w:val="5"/>
        </w:numPr>
        <w:ind w:left="2196"/>
        <w:rPr>
          <w:rFonts w:ascii="Times New Roman" w:hAnsi="Times New Roman" w:cs="Times New Roman"/>
        </w:rPr>
      </w:pPr>
      <w:r>
        <w:rPr>
          <w:rFonts w:ascii="Times New Roman" w:hAnsi="Times New Roman" w:cs="Times New Roman"/>
          <w:lang w:val="fr"/>
        </w:rPr>
        <w:t>La date d’expiration souhaitée doit être spécifiée au moment de l’achat</w:t>
      </w:r>
    </w:p>
    <w:p w14:paraId="441DEB88" w14:textId="77777777" w:rsidR="00BE6392" w:rsidRPr="00B731D8" w:rsidRDefault="00BE6392" w:rsidP="004D4775">
      <w:pPr>
        <w:pStyle w:val="ListParagraph"/>
        <w:numPr>
          <w:ilvl w:val="2"/>
          <w:numId w:val="5"/>
        </w:numPr>
        <w:ind w:left="2196"/>
        <w:rPr>
          <w:rFonts w:ascii="Times New Roman" w:hAnsi="Times New Roman" w:cs="Times New Roman"/>
        </w:rPr>
      </w:pPr>
      <w:r>
        <w:rPr>
          <w:rFonts w:ascii="Times New Roman" w:hAnsi="Times New Roman" w:cs="Times New Roman"/>
          <w:lang w:val="fr"/>
        </w:rPr>
        <w:t>Problèmes de stockage</w:t>
      </w:r>
    </w:p>
    <w:p w14:paraId="4AE19779" w14:textId="77777777" w:rsidR="00BE6392" w:rsidRPr="00B731D8" w:rsidRDefault="00BE6392" w:rsidP="004D4775">
      <w:pPr>
        <w:pStyle w:val="ListParagraph"/>
        <w:numPr>
          <w:ilvl w:val="2"/>
          <w:numId w:val="5"/>
        </w:numPr>
        <w:ind w:left="2196"/>
        <w:rPr>
          <w:rFonts w:ascii="Times New Roman" w:hAnsi="Times New Roman" w:cs="Times New Roman"/>
        </w:rPr>
      </w:pPr>
      <w:r>
        <w:rPr>
          <w:rFonts w:ascii="Times New Roman" w:hAnsi="Times New Roman" w:cs="Times New Roman"/>
          <w:lang w:val="fr"/>
        </w:rPr>
        <w:t>Difficultés rencontrées lors de la mise en place d’un ordre permanent auprès du fournisseur</w:t>
      </w:r>
    </w:p>
    <w:p w14:paraId="4B7CD958" w14:textId="77777777" w:rsidR="00BE6392" w:rsidRPr="00B731D8" w:rsidRDefault="00BE6392" w:rsidP="004D4775">
      <w:pPr>
        <w:pStyle w:val="ListParagraph"/>
        <w:numPr>
          <w:ilvl w:val="0"/>
          <w:numId w:val="5"/>
        </w:numPr>
        <w:ind w:left="792"/>
        <w:rPr>
          <w:rFonts w:ascii="Times New Roman" w:hAnsi="Times New Roman" w:cs="Times New Roman"/>
        </w:rPr>
      </w:pPr>
      <w:r>
        <w:rPr>
          <w:rFonts w:ascii="Times New Roman" w:hAnsi="Times New Roman" w:cs="Times New Roman"/>
          <w:lang w:val="fr"/>
        </w:rPr>
        <w:t>Considérations relatives aux fournisseurs</w:t>
      </w:r>
    </w:p>
    <w:p w14:paraId="0FAADD63" w14:textId="77777777" w:rsidR="00BE6392" w:rsidRPr="00B731D8" w:rsidRDefault="00BE6392"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Disponibilité d’un programme de comparaison inter-laboratoire</w:t>
      </w:r>
    </w:p>
    <w:p w14:paraId="28FBDF54" w14:textId="77777777" w:rsidR="00BE6392" w:rsidRPr="00B731D8" w:rsidRDefault="00BE6392"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Fournit une assistance en matière de dépannage</w:t>
      </w:r>
    </w:p>
    <w:p w14:paraId="61B3747A" w14:textId="77777777" w:rsidR="00BE6392" w:rsidRPr="00B731D8" w:rsidRDefault="00BE6392"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 xml:space="preserve">Capacité à gérer les ordres permanents </w:t>
      </w:r>
    </w:p>
    <w:p w14:paraId="3C8859CB" w14:textId="77777777" w:rsidR="0069054F" w:rsidRPr="00B731D8" w:rsidRDefault="00BE6392" w:rsidP="004D4775">
      <w:pPr>
        <w:pStyle w:val="ListParagraph"/>
        <w:numPr>
          <w:ilvl w:val="1"/>
          <w:numId w:val="5"/>
        </w:numPr>
        <w:ind w:left="1512"/>
        <w:rPr>
          <w:rFonts w:ascii="Times New Roman" w:hAnsi="Times New Roman" w:cs="Times New Roman"/>
        </w:rPr>
      </w:pPr>
      <w:r>
        <w:rPr>
          <w:rFonts w:ascii="Times New Roman" w:hAnsi="Times New Roman" w:cs="Times New Roman"/>
          <w:lang w:val="fr"/>
        </w:rPr>
        <w:t>Possibilité de conserver le numéro de lot spécifié, d’expédier et de facturer automatiquement comme indiqué dans le contrat d’achat</w:t>
      </w:r>
    </w:p>
    <w:sectPr w:rsidR="0069054F" w:rsidRPr="00B731D8" w:rsidSect="004D4775">
      <w:headerReference w:type="default" r:id="rId7"/>
      <w:footerReference w:type="default" r:id="rId8"/>
      <w:pgSz w:w="11907" w:h="16839" w:code="9"/>
      <w:pgMar w:top="720" w:right="720" w:bottom="432"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CA95B" w14:textId="77777777" w:rsidR="002F5D79" w:rsidRDefault="002F5D79" w:rsidP="00692A7C">
      <w:pPr>
        <w:spacing w:after="0" w:line="240" w:lineRule="auto"/>
      </w:pPr>
      <w:r>
        <w:separator/>
      </w:r>
    </w:p>
  </w:endnote>
  <w:endnote w:type="continuationSeparator" w:id="0">
    <w:p w14:paraId="6AE4BC8B" w14:textId="77777777" w:rsidR="002F5D79" w:rsidRDefault="002F5D79" w:rsidP="00692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1F3B" w14:textId="77777777" w:rsidR="001D1B5F" w:rsidRPr="001D1B5F" w:rsidRDefault="001D1B5F" w:rsidP="001D1B5F">
    <w:pPr>
      <w:pStyle w:val="Footer"/>
      <w:jc w:val="right"/>
      <w:rPr>
        <w:rFonts w:ascii="Arial Rounded MT Bold" w:hAnsi="Arial Rounded MT Bold"/>
        <w:color w:val="0099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97C64" w14:textId="77777777" w:rsidR="002F5D79" w:rsidRDefault="002F5D79" w:rsidP="00692A7C">
      <w:pPr>
        <w:spacing w:after="0" w:line="240" w:lineRule="auto"/>
      </w:pPr>
      <w:r>
        <w:separator/>
      </w:r>
    </w:p>
  </w:footnote>
  <w:footnote w:type="continuationSeparator" w:id="0">
    <w:p w14:paraId="65E76ABE" w14:textId="77777777" w:rsidR="002F5D79" w:rsidRDefault="002F5D79" w:rsidP="00692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9493" w14:textId="77777777" w:rsidR="00692A7C" w:rsidRDefault="00692A7C" w:rsidP="00692A7C">
    <w:pPr>
      <w:pStyle w:val="Header"/>
      <w:jc w:val="right"/>
      <w:rPr>
        <w:rFonts w:ascii="Arial Rounded MT Bold" w:hAnsi="Arial Rounded MT Bold"/>
        <w:noProof/>
        <w:color w:val="009900"/>
      </w:rPr>
    </w:pPr>
  </w:p>
  <w:p w14:paraId="17638540" w14:textId="77777777" w:rsidR="00692A7C" w:rsidRPr="005F5DD1" w:rsidRDefault="00692A7C" w:rsidP="00692A7C">
    <w:pPr>
      <w:pStyle w:val="Header"/>
      <w:shd w:val="clear" w:color="auto" w:fill="996633"/>
      <w:tabs>
        <w:tab w:val="right" w:pos="13680"/>
      </w:tabs>
      <w:ind w:left="-90" w:firstLine="90"/>
      <w:rPr>
        <w:rFonts w:ascii="Arial Rounded MT Bold" w:eastAsia="Times New Roman" w:hAnsi="Arial Rounded MT Bold" w:cs="Times New Roman"/>
        <w:color w:val="FFFFFF"/>
        <w:sz w:val="28"/>
        <w:szCs w:val="28"/>
      </w:rPr>
    </w:pPr>
    <w:r>
      <w:rPr>
        <w:rFonts w:ascii="Arial Rounded MT Bold" w:eastAsia="Times New Roman" w:hAnsi="Arial Rounded MT Bold" w:cs="Times New Roman"/>
        <w:color w:val="FFFFFF"/>
        <w:sz w:val="28"/>
        <w:szCs w:val="28"/>
        <w:lang w:val="fr"/>
      </w:rPr>
      <w:t>Aide de travail 1 : Sélection du matériel de contrôle qualité approprié </w:t>
    </w:r>
    <w:r>
      <w:rPr>
        <w:rFonts w:ascii="Arial Rounded MT Bold" w:eastAsia="Times New Roman" w:hAnsi="Arial Rounded MT Bold" w:cs="Times New Roman"/>
        <w:color w:val="FFFFFF"/>
        <w:sz w:val="28"/>
        <w:szCs w:val="28"/>
        <w:vertAlign w:val="superscript"/>
        <w:lang w:val="fr"/>
      </w:rPr>
      <w:t>606</w:t>
    </w:r>
  </w:p>
  <w:p w14:paraId="5FFBA46A" w14:textId="77777777" w:rsidR="00692A7C" w:rsidRPr="004D4775" w:rsidRDefault="00692A7C">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7660"/>
    <w:multiLevelType w:val="hybridMultilevel"/>
    <w:tmpl w:val="26DC373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E54EAB"/>
    <w:multiLevelType w:val="hybridMultilevel"/>
    <w:tmpl w:val="71762B9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5F144E4"/>
    <w:multiLevelType w:val="hybridMultilevel"/>
    <w:tmpl w:val="26A25A7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D488D"/>
    <w:multiLevelType w:val="hybridMultilevel"/>
    <w:tmpl w:val="21866BA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3EB6276"/>
    <w:multiLevelType w:val="hybridMultilevel"/>
    <w:tmpl w:val="21C27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4070223">
    <w:abstractNumId w:val="4"/>
  </w:num>
  <w:num w:numId="2" w16cid:durableId="455216178">
    <w:abstractNumId w:val="2"/>
  </w:num>
  <w:num w:numId="3" w16cid:durableId="915045119">
    <w:abstractNumId w:val="3"/>
  </w:num>
  <w:num w:numId="4" w16cid:durableId="1543712660">
    <w:abstractNumId w:val="1"/>
  </w:num>
  <w:num w:numId="5" w16cid:durableId="2041127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A7C"/>
    <w:rsid w:val="00044E97"/>
    <w:rsid w:val="000624C0"/>
    <w:rsid w:val="000713D1"/>
    <w:rsid w:val="000A5D78"/>
    <w:rsid w:val="001B5E90"/>
    <w:rsid w:val="001C31F1"/>
    <w:rsid w:val="001D1B5F"/>
    <w:rsid w:val="00237000"/>
    <w:rsid w:val="002F5D79"/>
    <w:rsid w:val="003E30C1"/>
    <w:rsid w:val="004D4775"/>
    <w:rsid w:val="0069054F"/>
    <w:rsid w:val="00692A7C"/>
    <w:rsid w:val="007845EC"/>
    <w:rsid w:val="007B5766"/>
    <w:rsid w:val="00833593"/>
    <w:rsid w:val="0086646E"/>
    <w:rsid w:val="008E3267"/>
    <w:rsid w:val="009174ED"/>
    <w:rsid w:val="009C4B75"/>
    <w:rsid w:val="00A411E2"/>
    <w:rsid w:val="00B47FF2"/>
    <w:rsid w:val="00B731D8"/>
    <w:rsid w:val="00BB6C2D"/>
    <w:rsid w:val="00BE6392"/>
    <w:rsid w:val="00CB2876"/>
    <w:rsid w:val="00D5779B"/>
    <w:rsid w:val="00DA25D3"/>
    <w:rsid w:val="00E67D23"/>
    <w:rsid w:val="00F061D8"/>
    <w:rsid w:val="00F61D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6F7A"/>
  <w15:docId w15:val="{EE90744F-936F-48E3-90B2-62C7C132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C"/>
  </w:style>
  <w:style w:type="paragraph" w:styleId="Footer">
    <w:name w:val="footer"/>
    <w:basedOn w:val="Normal"/>
    <w:link w:val="FooterChar"/>
    <w:uiPriority w:val="99"/>
    <w:unhideWhenUsed/>
    <w:rsid w:val="00692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A7C"/>
  </w:style>
  <w:style w:type="paragraph" w:styleId="ListParagraph">
    <w:name w:val="List Paragraph"/>
    <w:basedOn w:val="Normal"/>
    <w:uiPriority w:val="34"/>
    <w:qFormat/>
    <w:rsid w:val="00BB6C2D"/>
    <w:pPr>
      <w:ind w:left="720"/>
      <w:contextualSpacing/>
    </w:pPr>
  </w:style>
  <w:style w:type="table" w:styleId="TableGrid">
    <w:name w:val="Table Grid"/>
    <w:basedOn w:val="TableNormal"/>
    <w:uiPriority w:val="59"/>
    <w:rsid w:val="008E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14</cp:revision>
  <dcterms:created xsi:type="dcterms:W3CDTF">2013-03-21T13:41:00Z</dcterms:created>
  <dcterms:modified xsi:type="dcterms:W3CDTF">2025-05-02T15:37:00Z</dcterms:modified>
</cp:coreProperties>
</file>